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61.xml" ContentType="application/vnd.openxmlformats-officedocument.customXmlProperties+xml"/>
  <Override PartName="/customXml/itemProps62.xml" ContentType="application/vnd.openxmlformats-officedocument.customXmlProperties+xml"/>
  <Override PartName="/customXml/itemProps60.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word/webSettings.xml" ContentType="application/vnd.openxmlformats-officedocument.wordprocessingml.webSettings+xml"/>
  <Override PartName="/customXml/itemProps57.xml" ContentType="application/vnd.openxmlformats-officedocument.customXmlProperties+xml"/>
  <Override PartName="/customXml/itemProps56.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2.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29.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6.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3.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6.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18" w:rsidRPr="00DA2290" w:rsidRDefault="006C0418" w:rsidP="0033440A">
      <w:pPr>
        <w:rPr>
          <w:rFonts w:ascii="Verdana" w:hAnsi="Verdana"/>
          <w:b/>
        </w:rPr>
      </w:pPr>
      <w:bookmarkStart w:id="0" w:name="_Toc356998050"/>
      <w:bookmarkStart w:id="1" w:name="_Toc371447361"/>
      <w:bookmarkStart w:id="2" w:name="_GoBack"/>
      <w:bookmarkEnd w:id="2"/>
      <w:r w:rsidRPr="00DA2290">
        <w:rPr>
          <w:rFonts w:ascii="Verdana" w:hAnsi="Verdana"/>
          <w:b/>
        </w:rPr>
        <w:t>Annex I: Impact assessment and cost benefit analysis</w:t>
      </w:r>
      <w:bookmarkEnd w:id="0"/>
      <w:bookmarkEnd w:id="1"/>
    </w:p>
    <w:p w:rsidR="006C0418" w:rsidRPr="00DA2290" w:rsidRDefault="006C0418" w:rsidP="00BD2C2D">
      <w:pPr>
        <w:rPr>
          <w:lang w:eastAsia="en-US"/>
        </w:rPr>
      </w:pPr>
    </w:p>
    <w:p w:rsidR="006C3B31" w:rsidRPr="00DA2290" w:rsidRDefault="006C3B31" w:rsidP="006C3B31">
      <w:pPr>
        <w:pBdr>
          <w:top w:val="single" w:sz="4" w:space="2" w:color="auto"/>
          <w:left w:val="single" w:sz="4" w:space="4" w:color="auto"/>
          <w:bottom w:val="single" w:sz="4" w:space="1" w:color="auto"/>
          <w:right w:val="single" w:sz="4" w:space="4" w:color="auto"/>
        </w:pBdr>
        <w:tabs>
          <w:tab w:val="num" w:pos="1980"/>
        </w:tabs>
        <w:autoSpaceDE w:val="0"/>
        <w:autoSpaceDN w:val="0"/>
        <w:adjustRightInd w:val="0"/>
        <w:spacing w:before="120"/>
        <w:jc w:val="both"/>
        <w:rPr>
          <w:rFonts w:ascii="Verdana" w:hAnsi="Verdana"/>
          <w:b/>
          <w:sz w:val="22"/>
        </w:rPr>
      </w:pPr>
      <w:r w:rsidRPr="00DA2290">
        <w:rPr>
          <w:rFonts w:ascii="Verdana" w:hAnsi="Verdana"/>
          <w:b/>
          <w:sz w:val="22"/>
        </w:rPr>
        <w:t>1: Procedural issues and consultation of interested parties</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In order to fulfil EIOPA’s obligation to prepare a draft implementing technical standard</w:t>
      </w:r>
      <w:r w:rsidR="0012443A" w:rsidRPr="00DA2290">
        <w:rPr>
          <w:rFonts w:ascii="Verdana" w:hAnsi="Verdana"/>
          <w:sz w:val="22"/>
          <w:szCs w:val="22"/>
        </w:rPr>
        <w:t>s</w:t>
      </w:r>
      <w:r w:rsidRPr="00DA2290">
        <w:rPr>
          <w:rFonts w:ascii="Verdana" w:hAnsi="Verdana"/>
          <w:sz w:val="22"/>
          <w:szCs w:val="22"/>
        </w:rPr>
        <w:t xml:space="preserve"> (ITS) as </w:t>
      </w:r>
      <w:r w:rsidR="00B45D41" w:rsidRPr="00DA2290">
        <w:rPr>
          <w:rFonts w:ascii="Verdana" w:hAnsi="Verdana"/>
          <w:sz w:val="22"/>
          <w:szCs w:val="22"/>
        </w:rPr>
        <w:t xml:space="preserve">required </w:t>
      </w:r>
      <w:r w:rsidR="00E1167D" w:rsidRPr="00DA2290">
        <w:rPr>
          <w:rFonts w:ascii="Verdana" w:hAnsi="Verdana"/>
          <w:sz w:val="22"/>
          <w:szCs w:val="22"/>
        </w:rPr>
        <w:t>by Article</w:t>
      </w:r>
      <w:r w:rsidRPr="00DA2290">
        <w:rPr>
          <w:rFonts w:ascii="Verdana" w:hAnsi="Verdana"/>
          <w:sz w:val="22"/>
          <w:szCs w:val="22"/>
        </w:rPr>
        <w:t xml:space="preserve"> 20(11) of the IORP Directive, EIOPA’s Occupational Pensions Committee (OPC) established in March 2012 a subgroup whose task was to prepare draft </w:t>
      </w:r>
      <w:r w:rsidR="008D284B" w:rsidRPr="00DA2290">
        <w:rPr>
          <w:rFonts w:ascii="Verdana" w:hAnsi="Verdana"/>
          <w:sz w:val="22"/>
          <w:szCs w:val="22"/>
        </w:rPr>
        <w:t>ITS</w:t>
      </w:r>
      <w:r w:rsidRPr="00DA2290">
        <w:rPr>
          <w:rFonts w:ascii="Verdana" w:hAnsi="Verdana"/>
          <w:sz w:val="22"/>
          <w:szCs w:val="22"/>
        </w:rPr>
        <w:t xml:space="preserve">.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According to Article 15(1) second paragraph of the EIOPA Regulation, the Authority shall analyse the potential related costs and benefits of the ITS, unless such analyses are disproportionate in relation to the scope and impact of the draft ITS concerned or in relation to the particular urgency of the matter.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The impact assessment (IA) aims to provide </w:t>
      </w:r>
      <w:r w:rsidR="00E31F9A" w:rsidRPr="00DA2290">
        <w:rPr>
          <w:rFonts w:ascii="Verdana" w:hAnsi="Verdana"/>
          <w:sz w:val="22"/>
          <w:szCs w:val="22"/>
        </w:rPr>
        <w:t xml:space="preserve">a </w:t>
      </w:r>
      <w:r w:rsidRPr="00DA2290">
        <w:rPr>
          <w:rFonts w:ascii="Verdana" w:hAnsi="Verdana"/>
          <w:sz w:val="22"/>
          <w:szCs w:val="22"/>
        </w:rPr>
        <w:t>reader with an overview of findings with regard to the problem definition, options identified to remove the problem and their potential impacts.</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Stakeholders’ responses to the public consultation </w:t>
      </w:r>
      <w:r w:rsidR="00515C94" w:rsidRPr="00DA2290">
        <w:rPr>
          <w:rFonts w:ascii="Verdana" w:hAnsi="Verdana"/>
          <w:sz w:val="22"/>
          <w:szCs w:val="22"/>
        </w:rPr>
        <w:t xml:space="preserve">carried out </w:t>
      </w:r>
      <w:r w:rsidR="0012443A" w:rsidRPr="00DA2290">
        <w:rPr>
          <w:rFonts w:ascii="Verdana" w:hAnsi="Verdana"/>
          <w:sz w:val="22"/>
          <w:szCs w:val="22"/>
        </w:rPr>
        <w:t>between</w:t>
      </w:r>
      <w:r w:rsidR="00515C94" w:rsidRPr="00DA2290">
        <w:rPr>
          <w:rFonts w:ascii="Verdana" w:hAnsi="Verdana"/>
          <w:sz w:val="22"/>
          <w:szCs w:val="22"/>
        </w:rPr>
        <w:t xml:space="preserve"> 10 December 2012 </w:t>
      </w:r>
      <w:r w:rsidR="0012443A" w:rsidRPr="00DA2290">
        <w:rPr>
          <w:rFonts w:ascii="Verdana" w:hAnsi="Verdana"/>
          <w:sz w:val="22"/>
          <w:szCs w:val="22"/>
        </w:rPr>
        <w:t>and</w:t>
      </w:r>
      <w:r w:rsidR="00515C94" w:rsidRPr="00DA2290">
        <w:rPr>
          <w:rFonts w:ascii="Verdana" w:hAnsi="Verdana"/>
          <w:sz w:val="22"/>
          <w:szCs w:val="22"/>
        </w:rPr>
        <w:t xml:space="preserve"> 10 March 2013</w:t>
      </w:r>
      <w:r w:rsidR="0012443A" w:rsidRPr="00DA2290">
        <w:rPr>
          <w:rFonts w:ascii="Verdana" w:hAnsi="Verdana"/>
          <w:sz w:val="22"/>
          <w:szCs w:val="22"/>
        </w:rPr>
        <w:t xml:space="preserve"> </w:t>
      </w:r>
      <w:r w:rsidRPr="00DA2290">
        <w:rPr>
          <w:rFonts w:ascii="Verdana" w:hAnsi="Verdana"/>
          <w:sz w:val="22"/>
          <w:szCs w:val="22"/>
        </w:rPr>
        <w:t>serve</w:t>
      </w:r>
      <w:r w:rsidR="005501A2" w:rsidRPr="00DA2290">
        <w:rPr>
          <w:rFonts w:ascii="Verdana" w:hAnsi="Verdana"/>
          <w:sz w:val="22"/>
          <w:szCs w:val="22"/>
        </w:rPr>
        <w:t>d</w:t>
      </w:r>
      <w:r w:rsidRPr="00DA2290">
        <w:rPr>
          <w:rFonts w:ascii="Verdana" w:hAnsi="Verdana"/>
          <w:sz w:val="22"/>
          <w:szCs w:val="22"/>
        </w:rPr>
        <w:t xml:space="preserve"> as a valuable input in </w:t>
      </w:r>
      <w:r w:rsidR="008D284B" w:rsidRPr="00DA2290">
        <w:rPr>
          <w:rFonts w:ascii="Verdana" w:hAnsi="Verdana"/>
          <w:sz w:val="22"/>
          <w:szCs w:val="22"/>
        </w:rPr>
        <w:t xml:space="preserve">further </w:t>
      </w:r>
      <w:r w:rsidRPr="00DA2290">
        <w:rPr>
          <w:rFonts w:ascii="Verdana" w:hAnsi="Verdana"/>
          <w:sz w:val="22"/>
          <w:szCs w:val="22"/>
        </w:rPr>
        <w:t>develop</w:t>
      </w:r>
      <w:r w:rsidR="008D284B" w:rsidRPr="00DA2290">
        <w:rPr>
          <w:rFonts w:ascii="Verdana" w:hAnsi="Verdana"/>
          <w:sz w:val="22"/>
          <w:szCs w:val="22"/>
        </w:rPr>
        <w:t xml:space="preserve">ment of </w:t>
      </w:r>
      <w:r w:rsidRPr="00DA2290">
        <w:rPr>
          <w:rFonts w:ascii="Verdana" w:hAnsi="Verdana"/>
          <w:sz w:val="22"/>
          <w:szCs w:val="22"/>
        </w:rPr>
        <w:t>draft implementing technical standard</w:t>
      </w:r>
      <w:r w:rsidR="005501A2" w:rsidRPr="00DA2290">
        <w:rPr>
          <w:rFonts w:ascii="Verdana" w:hAnsi="Verdana"/>
          <w:sz w:val="22"/>
          <w:szCs w:val="22"/>
        </w:rPr>
        <w:t>s</w:t>
      </w:r>
      <w:r w:rsidRPr="00DA2290">
        <w:rPr>
          <w:rFonts w:ascii="Verdana" w:hAnsi="Verdana"/>
          <w:sz w:val="22"/>
          <w:szCs w:val="22"/>
        </w:rPr>
        <w:t xml:space="preserve"> (ITS). </w:t>
      </w:r>
    </w:p>
    <w:p w:rsidR="00982CE2" w:rsidRPr="00DA2290" w:rsidRDefault="00982CE2" w:rsidP="00982CE2">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A detailed overview of the main stakeholders’ comments is provided in the previous section “Feedback Statement”.</w:t>
      </w:r>
    </w:p>
    <w:p w:rsidR="006C3B31" w:rsidRPr="00DA2290" w:rsidRDefault="006C3B31" w:rsidP="006C3B31">
      <w:pPr>
        <w:tabs>
          <w:tab w:val="num" w:pos="1980"/>
        </w:tabs>
        <w:autoSpaceDE w:val="0"/>
        <w:autoSpaceDN w:val="0"/>
        <w:adjustRightInd w:val="0"/>
        <w:spacing w:before="120"/>
        <w:jc w:val="both"/>
        <w:rPr>
          <w:rFonts w:ascii="Verdana" w:hAnsi="Verdana"/>
          <w:b/>
        </w:rPr>
      </w:pPr>
    </w:p>
    <w:p w:rsidR="006C3B31" w:rsidRPr="00DA2290" w:rsidRDefault="006C3B31" w:rsidP="006C3B31">
      <w:pPr>
        <w:pBdr>
          <w:top w:val="single" w:sz="4" w:space="1" w:color="auto"/>
          <w:left w:val="single" w:sz="4" w:space="4" w:color="auto"/>
          <w:bottom w:val="single" w:sz="4" w:space="1" w:color="auto"/>
          <w:right w:val="single" w:sz="4" w:space="4" w:color="auto"/>
        </w:pBdr>
        <w:tabs>
          <w:tab w:val="num" w:pos="1980"/>
        </w:tabs>
        <w:autoSpaceDE w:val="0"/>
        <w:autoSpaceDN w:val="0"/>
        <w:adjustRightInd w:val="0"/>
        <w:spacing w:before="120"/>
        <w:jc w:val="both"/>
        <w:rPr>
          <w:rFonts w:ascii="Verdana" w:hAnsi="Verdana"/>
          <w:b/>
          <w:sz w:val="22"/>
        </w:rPr>
      </w:pPr>
      <w:r w:rsidRPr="00DA2290">
        <w:rPr>
          <w:rFonts w:ascii="Verdana" w:hAnsi="Verdana"/>
          <w:b/>
          <w:sz w:val="22"/>
        </w:rPr>
        <w:t>2: Problem definition</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The IORP Directive </w:t>
      </w:r>
      <w:r w:rsidR="003F6A40" w:rsidRPr="00DA2290">
        <w:rPr>
          <w:rFonts w:ascii="Verdana" w:hAnsi="Verdana"/>
          <w:sz w:val="22"/>
          <w:szCs w:val="22"/>
        </w:rPr>
        <w:t xml:space="preserve">2003/41/EC </w:t>
      </w:r>
      <w:r w:rsidRPr="00DA2290">
        <w:rPr>
          <w:rFonts w:ascii="Verdana" w:hAnsi="Verdana"/>
          <w:sz w:val="22"/>
          <w:szCs w:val="22"/>
        </w:rPr>
        <w:t>was published in the Official Journal on 23 September 2003 and had to be implemented by Member States by 23 September 2005. This Directive is a minimum harmonisation instrument with a main objective to create a Community legal framework covering</w:t>
      </w:r>
      <w:r w:rsidR="00B45D41" w:rsidRPr="00DA2290">
        <w:rPr>
          <w:rFonts w:ascii="Verdana" w:hAnsi="Verdana"/>
          <w:sz w:val="22"/>
          <w:szCs w:val="22"/>
        </w:rPr>
        <w:t xml:space="preserve"> the activities and supervision of</w:t>
      </w:r>
      <w:r w:rsidRPr="00DA2290">
        <w:rPr>
          <w:rFonts w:ascii="Verdana" w:hAnsi="Verdana"/>
          <w:sz w:val="22"/>
          <w:szCs w:val="22"/>
        </w:rPr>
        <w:t xml:space="preserve"> institutions for occupational retirement provision</w:t>
      </w:r>
      <w:r w:rsidRPr="00DA2290">
        <w:rPr>
          <w:rStyle w:val="FootnoteReference"/>
          <w:rFonts w:ascii="Verdana" w:hAnsi="Verdana"/>
          <w:sz w:val="22"/>
          <w:szCs w:val="22"/>
        </w:rPr>
        <w:footnoteReference w:id="2"/>
      </w:r>
      <w:r w:rsidRPr="00DA2290">
        <w:rPr>
          <w:rFonts w:ascii="Verdana" w:hAnsi="Verdana"/>
          <w:sz w:val="22"/>
          <w:szCs w:val="22"/>
        </w:rPr>
        <w:t xml:space="preserve"> as it provides for prudential regulation based on minimum harmonisation and mutual recognition. In addition, the IORP Directive provides a framework for cross-border activity of IORPs by enabling an employer in one Member State to sponsor an IORP located in another Member State or, conversely, by enabling an IORP located in one Member State to be sponsored by one or more employers in different Member States.</w:t>
      </w:r>
    </w:p>
    <w:p w:rsidR="006C3B31" w:rsidRPr="00DA2290" w:rsidRDefault="00E31F9A"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S</w:t>
      </w:r>
      <w:r w:rsidR="006C3B31" w:rsidRPr="00DA2290">
        <w:rPr>
          <w:rFonts w:ascii="Verdana" w:hAnsi="Verdana"/>
          <w:sz w:val="22"/>
          <w:szCs w:val="22"/>
        </w:rPr>
        <w:t>ince the implementation of the IORP Directive by Member States there has been an increase in the number of cross-border pension arrangements</w:t>
      </w:r>
      <w:r w:rsidR="00220FA0" w:rsidRPr="00DA2290">
        <w:rPr>
          <w:rFonts w:ascii="Verdana" w:hAnsi="Verdana"/>
          <w:sz w:val="22"/>
          <w:szCs w:val="22"/>
        </w:rPr>
        <w:t>.</w:t>
      </w:r>
      <w:r w:rsidRPr="00DA2290">
        <w:rPr>
          <w:rFonts w:ascii="Verdana" w:hAnsi="Verdana"/>
          <w:sz w:val="22"/>
          <w:szCs w:val="22"/>
        </w:rPr>
        <w:t xml:space="preserve"> </w:t>
      </w:r>
      <w:r w:rsidR="00220FA0" w:rsidRPr="00DA2290">
        <w:rPr>
          <w:rFonts w:ascii="Verdana" w:hAnsi="Verdana"/>
          <w:sz w:val="22"/>
          <w:szCs w:val="22"/>
        </w:rPr>
        <w:t>Despite this</w:t>
      </w:r>
      <w:r w:rsidR="00E1167D" w:rsidRPr="00DA2290">
        <w:rPr>
          <w:rFonts w:ascii="Verdana" w:hAnsi="Verdana"/>
          <w:sz w:val="22"/>
          <w:szCs w:val="22"/>
        </w:rPr>
        <w:t>, the</w:t>
      </w:r>
      <w:r w:rsidR="006C3B31" w:rsidRPr="00DA2290">
        <w:rPr>
          <w:rFonts w:ascii="Verdana" w:hAnsi="Verdana"/>
          <w:sz w:val="22"/>
          <w:szCs w:val="22"/>
        </w:rPr>
        <w:t xml:space="preserve"> level of cross-border cases still remains relatively low. According to data published by the European Commission, in 2011 there were less than 80 IORPs operating across different Member States, which represents a very small proportion of the ca. 140 000 IORPs</w:t>
      </w:r>
      <w:r w:rsidR="006C3B31" w:rsidRPr="00DA2290">
        <w:rPr>
          <w:rStyle w:val="FootnoteReference"/>
          <w:rFonts w:ascii="Verdana" w:hAnsi="Verdana"/>
          <w:sz w:val="22"/>
          <w:szCs w:val="22"/>
        </w:rPr>
        <w:footnoteReference w:id="3"/>
      </w:r>
      <w:r w:rsidR="006C3B31" w:rsidRPr="00DA2290">
        <w:rPr>
          <w:rFonts w:ascii="Verdana" w:hAnsi="Verdana"/>
          <w:sz w:val="22"/>
          <w:szCs w:val="22"/>
        </w:rPr>
        <w:t xml:space="preserve"> existing in the </w:t>
      </w:r>
      <w:r w:rsidR="006C3B31" w:rsidRPr="00DA2290">
        <w:rPr>
          <w:rFonts w:ascii="Verdana" w:hAnsi="Verdana"/>
          <w:sz w:val="22"/>
          <w:szCs w:val="22"/>
        </w:rPr>
        <w:lastRenderedPageBreak/>
        <w:t>EU.</w:t>
      </w:r>
      <w:r w:rsidR="006C3B31" w:rsidRPr="00DA2290">
        <w:rPr>
          <w:rStyle w:val="FootnoteReference"/>
          <w:rFonts w:ascii="Verdana" w:hAnsi="Verdana"/>
          <w:sz w:val="22"/>
          <w:szCs w:val="22"/>
        </w:rPr>
        <w:footnoteReference w:id="4"/>
      </w:r>
      <w:r w:rsidR="006C3B31" w:rsidRPr="00DA2290">
        <w:rPr>
          <w:rFonts w:ascii="Verdana" w:hAnsi="Verdana"/>
          <w:sz w:val="22"/>
          <w:szCs w:val="22"/>
        </w:rPr>
        <w:t xml:space="preserve"> The Market Development report</w:t>
      </w:r>
      <w:r w:rsidR="006C3B31" w:rsidRPr="00DA2290">
        <w:rPr>
          <w:rStyle w:val="FootnoteReference"/>
          <w:rFonts w:ascii="Verdana" w:hAnsi="Verdana"/>
          <w:sz w:val="22"/>
          <w:szCs w:val="22"/>
        </w:rPr>
        <w:footnoteReference w:id="5"/>
      </w:r>
      <w:r w:rsidR="006C3B31" w:rsidRPr="00DA2290">
        <w:rPr>
          <w:rFonts w:ascii="Verdana" w:hAnsi="Verdana"/>
          <w:sz w:val="22"/>
          <w:szCs w:val="22"/>
        </w:rPr>
        <w:t xml:space="preserve"> published by EIOPA shows that </w:t>
      </w:r>
      <w:r w:rsidR="0084345D" w:rsidRPr="00DA2290">
        <w:rPr>
          <w:rFonts w:ascii="Verdana" w:hAnsi="Verdana"/>
          <w:sz w:val="22"/>
          <w:szCs w:val="22"/>
        </w:rPr>
        <w:t xml:space="preserve">as </w:t>
      </w:r>
      <w:r w:rsidR="008C42D4" w:rsidRPr="00DA2290">
        <w:rPr>
          <w:rFonts w:ascii="Verdana" w:hAnsi="Verdana"/>
          <w:sz w:val="22"/>
          <w:szCs w:val="22"/>
        </w:rPr>
        <w:t>at June</w:t>
      </w:r>
      <w:r w:rsidR="006C3B31" w:rsidRPr="00DA2290">
        <w:rPr>
          <w:rFonts w:ascii="Verdana" w:hAnsi="Verdana"/>
          <w:sz w:val="22"/>
          <w:szCs w:val="22"/>
        </w:rPr>
        <w:t xml:space="preserve"> 201</w:t>
      </w:r>
      <w:r w:rsidRPr="00DA2290">
        <w:rPr>
          <w:rFonts w:ascii="Verdana" w:hAnsi="Verdana"/>
          <w:sz w:val="22"/>
          <w:szCs w:val="22"/>
        </w:rPr>
        <w:t>3</w:t>
      </w:r>
      <w:r w:rsidR="006C3B31" w:rsidRPr="00DA2290">
        <w:rPr>
          <w:rFonts w:ascii="Verdana" w:hAnsi="Verdana"/>
          <w:sz w:val="22"/>
          <w:szCs w:val="22"/>
        </w:rPr>
        <w:t>, a total number of 8</w:t>
      </w:r>
      <w:r w:rsidRPr="00DA2290">
        <w:rPr>
          <w:rFonts w:ascii="Verdana" w:hAnsi="Verdana"/>
          <w:sz w:val="22"/>
          <w:szCs w:val="22"/>
        </w:rPr>
        <w:t>2</w:t>
      </w:r>
      <w:r w:rsidR="006C3B31" w:rsidRPr="00DA2290">
        <w:rPr>
          <w:rFonts w:ascii="Verdana" w:hAnsi="Verdana"/>
          <w:sz w:val="22"/>
          <w:szCs w:val="22"/>
        </w:rPr>
        <w:t xml:space="preserve"> cross-border IORPs exist.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A chart below presents obstacles to cross-border activity identified by stakeholders in their responses to the EIOPA consultation paper on the review of the IORP Directive.</w:t>
      </w:r>
      <w:r w:rsidR="00C742F0" w:rsidRPr="00DA2290">
        <w:rPr>
          <w:rStyle w:val="FootnoteReference"/>
          <w:rFonts w:ascii="Verdana" w:hAnsi="Verdana"/>
          <w:sz w:val="22"/>
          <w:szCs w:val="22"/>
        </w:rPr>
        <w:footnoteReference w:id="6"/>
      </w:r>
      <w:r w:rsidRPr="00DA2290">
        <w:rPr>
          <w:rFonts w:ascii="Verdana" w:hAnsi="Verdana"/>
          <w:sz w:val="22"/>
          <w:szCs w:val="22"/>
        </w:rPr>
        <w:t xml:space="preserve"> A lack of certainty on prudential regulation is one of the barriers mentioned by some of the stakeholders. There is also an issue of what is considered prudential law and social and labour law (SLL) in different Member States. Thus, the uncertainty about the </w:t>
      </w:r>
      <w:r w:rsidR="00556811" w:rsidRPr="00DA2290">
        <w:rPr>
          <w:rFonts w:ascii="Verdana" w:hAnsi="Verdana"/>
          <w:sz w:val="22"/>
          <w:szCs w:val="22"/>
        </w:rPr>
        <w:t xml:space="preserve">existing </w:t>
      </w:r>
      <w:r w:rsidRPr="00DA2290">
        <w:rPr>
          <w:rFonts w:ascii="Verdana" w:hAnsi="Verdana"/>
          <w:sz w:val="22"/>
          <w:szCs w:val="22"/>
        </w:rPr>
        <w:t xml:space="preserve">prudential </w:t>
      </w:r>
      <w:r w:rsidR="007C35C2" w:rsidRPr="00DA2290">
        <w:rPr>
          <w:rFonts w:ascii="Verdana" w:hAnsi="Verdana"/>
          <w:sz w:val="22"/>
          <w:szCs w:val="22"/>
        </w:rPr>
        <w:t xml:space="preserve">rules </w:t>
      </w:r>
      <w:r w:rsidRPr="00DA2290">
        <w:rPr>
          <w:rFonts w:ascii="Verdana" w:hAnsi="Verdana"/>
          <w:sz w:val="22"/>
          <w:szCs w:val="22"/>
        </w:rPr>
        <w:t>and social and labour law seems to be one of the reasons behind the low level of cross-border IORPs in the European Union.</w:t>
      </w:r>
    </w:p>
    <w:p w:rsidR="006C3B31" w:rsidRPr="00DA2290" w:rsidRDefault="00C742F0"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Nevertheless, t</w:t>
      </w:r>
      <w:r w:rsidR="006C3B31" w:rsidRPr="00DA2290">
        <w:rPr>
          <w:rFonts w:ascii="Verdana" w:hAnsi="Verdana"/>
          <w:sz w:val="22"/>
          <w:szCs w:val="22"/>
        </w:rPr>
        <w:t xml:space="preserve">he interaction between prudential law and SLL is not always clear and there is a wide diversity </w:t>
      </w:r>
      <w:r w:rsidR="00556811" w:rsidRPr="00DA2290">
        <w:rPr>
          <w:rFonts w:ascii="Verdana" w:hAnsi="Verdana"/>
          <w:sz w:val="22"/>
          <w:szCs w:val="22"/>
        </w:rPr>
        <w:t xml:space="preserve">of </w:t>
      </w:r>
      <w:r w:rsidR="006C3B31" w:rsidRPr="00DA2290">
        <w:rPr>
          <w:rFonts w:ascii="Verdana" w:hAnsi="Verdana"/>
          <w:sz w:val="22"/>
          <w:szCs w:val="22"/>
        </w:rPr>
        <w:t xml:space="preserve">views of what constitutes prudential </w:t>
      </w:r>
      <w:r w:rsidR="007C35C2" w:rsidRPr="00DA2290">
        <w:rPr>
          <w:rFonts w:ascii="Verdana" w:hAnsi="Verdana"/>
          <w:sz w:val="22"/>
          <w:szCs w:val="22"/>
        </w:rPr>
        <w:t xml:space="preserve">rules </w:t>
      </w:r>
      <w:r w:rsidR="006C3B31" w:rsidRPr="00DA2290">
        <w:rPr>
          <w:rFonts w:ascii="Verdana" w:hAnsi="Verdana"/>
          <w:sz w:val="22"/>
          <w:szCs w:val="22"/>
        </w:rPr>
        <w:t xml:space="preserve">between Member States making a common standard very difficult to achieve. </w:t>
      </w:r>
    </w:p>
    <w:p w:rsidR="006C3B31" w:rsidRPr="00DA2290" w:rsidRDefault="006C3B31" w:rsidP="006C3B31">
      <w:pPr>
        <w:autoSpaceDE w:val="0"/>
        <w:autoSpaceDN w:val="0"/>
        <w:adjustRightInd w:val="0"/>
        <w:spacing w:before="120"/>
        <w:jc w:val="both"/>
        <w:rPr>
          <w:rFonts w:ascii="Verdana" w:hAnsi="Verdana"/>
          <w:sz w:val="16"/>
          <w:szCs w:val="16"/>
        </w:rPr>
      </w:pPr>
      <w:r w:rsidRPr="00DA2290">
        <w:rPr>
          <w:noProof/>
        </w:rPr>
        <w:drawing>
          <wp:inline distT="0" distB="0" distL="0" distR="0" wp14:anchorId="0AB64EEB" wp14:editId="0EFE493E">
            <wp:extent cx="5791200" cy="4104511"/>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92278" cy="4105275"/>
                    </a:xfrm>
                    <a:prstGeom prst="rect">
                      <a:avLst/>
                    </a:prstGeom>
                    <a:noFill/>
                    <a:ln>
                      <a:noFill/>
                    </a:ln>
                  </pic:spPr>
                </pic:pic>
              </a:graphicData>
            </a:graphic>
          </wp:inline>
        </w:drawing>
      </w:r>
      <w:r w:rsidRPr="00DA2290">
        <w:rPr>
          <w:rFonts w:ascii="Verdana" w:hAnsi="Verdana"/>
          <w:sz w:val="16"/>
          <w:szCs w:val="16"/>
        </w:rPr>
        <w:t xml:space="preserve">Source: Keynote speech of the EIOPA Chair “Enhancing the European market for occupational pension provision” </w:t>
      </w:r>
      <w:hyperlink r:id="rId77" w:history="1">
        <w:r w:rsidRPr="00DA2290">
          <w:rPr>
            <w:rFonts w:ascii="Verdana" w:hAnsi="Verdana"/>
            <w:color w:val="0000FF"/>
            <w:sz w:val="16"/>
            <w:szCs w:val="16"/>
            <w:u w:val="single"/>
          </w:rPr>
          <w:t>https://eiopa.europa.eu/press-room/speeches-presentations-and-interviews/index.html</w:t>
        </w:r>
      </w:hyperlink>
      <w:r w:rsidR="001E4971" w:rsidRPr="00DA2290">
        <w:rPr>
          <w:rFonts w:ascii="Verdana" w:hAnsi="Verdana"/>
          <w:color w:val="0000FF"/>
          <w:sz w:val="16"/>
          <w:szCs w:val="16"/>
          <w:u w:val="single"/>
        </w:rPr>
        <w:t>.</w:t>
      </w:r>
      <w:r w:rsidRPr="00DA2290">
        <w:rPr>
          <w:rFonts w:ascii="Verdana" w:hAnsi="Verdana"/>
          <w:color w:val="0000FF"/>
          <w:sz w:val="16"/>
          <w:szCs w:val="16"/>
          <w:u w:val="single"/>
        </w:rPr>
        <w:t xml:space="preserve"> </w:t>
      </w:r>
      <w:r w:rsidRPr="00DA2290">
        <w:rPr>
          <w:rFonts w:ascii="Verdana" w:hAnsi="Verdana"/>
          <w:sz w:val="16"/>
          <w:szCs w:val="16"/>
        </w:rPr>
        <w:t>The chart is based on EIOPA internal analysis of stakeholders’ replies to EIOPA’s Advice on revision of IORP Directive.</w:t>
      </w:r>
    </w:p>
    <w:p w:rsidR="006C3B31" w:rsidRPr="00DA2290" w:rsidRDefault="006C3B31" w:rsidP="006C3B31">
      <w:pPr>
        <w:tabs>
          <w:tab w:val="left" w:pos="270"/>
          <w:tab w:val="num" w:pos="1980"/>
        </w:tabs>
        <w:autoSpaceDE w:val="0"/>
        <w:autoSpaceDN w:val="0"/>
        <w:adjustRightInd w:val="0"/>
        <w:spacing w:before="120"/>
        <w:rPr>
          <w:rFonts w:ascii="Verdana" w:hAnsi="Verdana"/>
        </w:rPr>
      </w:pP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The relevant prudential </w:t>
      </w:r>
      <w:r w:rsidR="007C35C2" w:rsidRPr="00DA2290">
        <w:rPr>
          <w:rFonts w:ascii="Verdana" w:hAnsi="Verdana"/>
          <w:sz w:val="22"/>
          <w:szCs w:val="22"/>
        </w:rPr>
        <w:t xml:space="preserve">provisions </w:t>
      </w:r>
      <w:r w:rsidRPr="00DA2290">
        <w:rPr>
          <w:rFonts w:ascii="Verdana" w:hAnsi="Verdana"/>
          <w:sz w:val="22"/>
          <w:szCs w:val="22"/>
        </w:rPr>
        <w:t xml:space="preserve">for occupational pension schemes in a Member State </w:t>
      </w:r>
      <w:r w:rsidR="00BC42B8" w:rsidRPr="00DA2290">
        <w:rPr>
          <w:rFonts w:ascii="Verdana" w:hAnsi="Verdana"/>
          <w:sz w:val="22"/>
          <w:szCs w:val="22"/>
        </w:rPr>
        <w:t xml:space="preserve">are </w:t>
      </w:r>
      <w:r w:rsidRPr="00DA2290">
        <w:rPr>
          <w:rFonts w:ascii="Verdana" w:hAnsi="Verdana"/>
          <w:sz w:val="22"/>
          <w:szCs w:val="22"/>
        </w:rPr>
        <w:t xml:space="preserve">contained within </w:t>
      </w:r>
      <w:r w:rsidR="00253ADE" w:rsidRPr="00DA2290">
        <w:rPr>
          <w:rFonts w:ascii="Verdana" w:hAnsi="Verdana"/>
          <w:sz w:val="22"/>
          <w:szCs w:val="22"/>
        </w:rPr>
        <w:t xml:space="preserve">the </w:t>
      </w:r>
      <w:r w:rsidR="00B61655" w:rsidRPr="00DA2290">
        <w:rPr>
          <w:rFonts w:ascii="Verdana" w:hAnsi="Verdana"/>
          <w:sz w:val="22"/>
          <w:szCs w:val="22"/>
        </w:rPr>
        <w:t>MS’s own</w:t>
      </w:r>
      <w:r w:rsidRPr="00DA2290">
        <w:rPr>
          <w:rFonts w:ascii="Verdana" w:hAnsi="Verdana"/>
          <w:sz w:val="22"/>
          <w:szCs w:val="22"/>
        </w:rPr>
        <w:t xml:space="preserve"> legal and regulatory framework</w:t>
      </w:r>
      <w:r w:rsidR="003A0226" w:rsidRPr="00DA2290">
        <w:rPr>
          <w:rFonts w:ascii="Verdana" w:hAnsi="Verdana"/>
          <w:sz w:val="22"/>
          <w:szCs w:val="22"/>
        </w:rPr>
        <w:t>s</w:t>
      </w:r>
      <w:r w:rsidRPr="00DA2290">
        <w:rPr>
          <w:rFonts w:ascii="Verdana" w:hAnsi="Verdana"/>
          <w:sz w:val="22"/>
          <w:szCs w:val="22"/>
        </w:rPr>
        <w:t xml:space="preserve"> and each Member State has its own arrangements for sharing that information with stakeholders (e.g. </w:t>
      </w:r>
      <w:r w:rsidRPr="00DA2290">
        <w:rPr>
          <w:rFonts w:ascii="Verdana" w:hAnsi="Verdana" w:cs="Arial"/>
          <w:sz w:val="22"/>
          <w:szCs w:val="22"/>
        </w:rPr>
        <w:t>official journals, websites of competent authorities</w:t>
      </w:r>
      <w:r w:rsidRPr="00DA2290">
        <w:rPr>
          <w:rFonts w:ascii="Verdana" w:hAnsi="Verdana"/>
          <w:sz w:val="22"/>
          <w:szCs w:val="22"/>
        </w:rPr>
        <w:t xml:space="preserve">). In order to create a centralised source of information at </w:t>
      </w:r>
      <w:r w:rsidR="0087461C" w:rsidRPr="00DA2290">
        <w:rPr>
          <w:rFonts w:ascii="Verdana" w:hAnsi="Verdana"/>
          <w:sz w:val="22"/>
          <w:szCs w:val="22"/>
        </w:rPr>
        <w:t xml:space="preserve">an </w:t>
      </w:r>
      <w:r w:rsidRPr="00DA2290">
        <w:rPr>
          <w:rFonts w:ascii="Verdana" w:hAnsi="Verdana"/>
          <w:sz w:val="22"/>
          <w:szCs w:val="22"/>
        </w:rPr>
        <w:t>EU level on national provisions of prudential nature these draft implementing technical standards provide for uniform rules on procedures, formats and templates to be used by competent authorities when reporting to EIOPA</w:t>
      </w:r>
      <w:r w:rsidR="00556811" w:rsidRPr="00DA2290">
        <w:rPr>
          <w:rFonts w:ascii="Verdana" w:hAnsi="Verdana"/>
          <w:sz w:val="22"/>
        </w:rPr>
        <w:t xml:space="preserve"> </w:t>
      </w:r>
      <w:r w:rsidR="00556811" w:rsidRPr="00DA2290">
        <w:rPr>
          <w:rFonts w:ascii="Verdana" w:hAnsi="Verdana"/>
          <w:sz w:val="22"/>
          <w:szCs w:val="22"/>
        </w:rPr>
        <w:t>on such provisions</w:t>
      </w:r>
      <w:r w:rsidRPr="00DA2290">
        <w:rPr>
          <w:rFonts w:ascii="Verdana" w:hAnsi="Verdana"/>
          <w:sz w:val="22"/>
          <w:szCs w:val="22"/>
        </w:rPr>
        <w:t>.</w:t>
      </w:r>
      <w:r w:rsidRPr="00DA2290">
        <w:rPr>
          <w:rFonts w:ascii="Verdana" w:hAnsi="Verdana"/>
          <w:b/>
          <w:sz w:val="22"/>
          <w:szCs w:val="22"/>
        </w:rPr>
        <w:t xml:space="preserve"> </w:t>
      </w:r>
      <w:r w:rsidRPr="00DA2290">
        <w:rPr>
          <w:rFonts w:ascii="Verdana" w:hAnsi="Verdana"/>
          <w:sz w:val="22"/>
          <w:szCs w:val="22"/>
        </w:rPr>
        <w:t xml:space="preserve">The competent authorities will provide information on their national provisions of prudential nature relevant to the field of occupational pension schemes, which are not covered by the reference to national social and </w:t>
      </w:r>
      <w:r w:rsidRPr="00DA2290">
        <w:rPr>
          <w:rFonts w:ascii="Verdana" w:hAnsi="Verdana"/>
          <w:sz w:val="22"/>
        </w:rPr>
        <w:t>labour</w:t>
      </w:r>
      <w:r w:rsidRPr="00DA2290">
        <w:rPr>
          <w:rFonts w:ascii="Verdana" w:hAnsi="Verdana"/>
          <w:sz w:val="22"/>
          <w:szCs w:val="22"/>
        </w:rPr>
        <w:t xml:space="preserve"> law in Article 20(1) of the IORP Directive on </w:t>
      </w:r>
      <w:r w:rsidR="00556811" w:rsidRPr="00DA2290">
        <w:rPr>
          <w:rFonts w:ascii="Verdana" w:hAnsi="Verdana"/>
          <w:sz w:val="22"/>
          <w:szCs w:val="22"/>
        </w:rPr>
        <w:t xml:space="preserve">an </w:t>
      </w:r>
      <w:r w:rsidRPr="00DA2290">
        <w:rPr>
          <w:rFonts w:ascii="Verdana" w:hAnsi="Verdana"/>
          <w:sz w:val="22"/>
          <w:szCs w:val="22"/>
        </w:rPr>
        <w:t>annual basis</w:t>
      </w:r>
      <w:r w:rsidR="007C35C2" w:rsidRPr="00DA2290">
        <w:rPr>
          <w:rFonts w:ascii="Verdana" w:hAnsi="Verdana"/>
          <w:sz w:val="22"/>
          <w:szCs w:val="22"/>
        </w:rPr>
        <w:t xml:space="preserve"> and</w:t>
      </w:r>
      <w:r w:rsidRPr="00DA2290">
        <w:rPr>
          <w:rFonts w:ascii="Verdana" w:hAnsi="Verdana"/>
          <w:sz w:val="22"/>
          <w:szCs w:val="22"/>
        </w:rPr>
        <w:t xml:space="preserve"> EIOPA will make that information available on its website.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The analysis of the expected impact of the ITS is compared to the expected impact from a baseline scenario. The baseline is defined as the world under a set of assumptions about what would happen to the occupational pension schemes environment in the absence of th</w:t>
      </w:r>
      <w:r w:rsidR="00050E24" w:rsidRPr="00DA2290">
        <w:rPr>
          <w:rFonts w:ascii="Verdana" w:hAnsi="Verdana"/>
          <w:sz w:val="22"/>
          <w:szCs w:val="22"/>
        </w:rPr>
        <w:t>e</w:t>
      </w:r>
      <w:r w:rsidRPr="00DA2290">
        <w:rPr>
          <w:rFonts w:ascii="Verdana" w:hAnsi="Verdana"/>
          <w:sz w:val="22"/>
          <w:szCs w:val="22"/>
        </w:rPr>
        <w:t>s</w:t>
      </w:r>
      <w:r w:rsidR="00050E24" w:rsidRPr="00DA2290">
        <w:rPr>
          <w:rFonts w:ascii="Verdana" w:hAnsi="Verdana"/>
          <w:sz w:val="22"/>
          <w:szCs w:val="22"/>
        </w:rPr>
        <w:t>e</w:t>
      </w:r>
      <w:r w:rsidRPr="00DA2290">
        <w:rPr>
          <w:rFonts w:ascii="Verdana" w:hAnsi="Verdana"/>
          <w:sz w:val="22"/>
          <w:szCs w:val="22"/>
        </w:rPr>
        <w:t xml:space="preserve"> implementing technical standard</w:t>
      </w:r>
      <w:r w:rsidR="00050E24" w:rsidRPr="00DA2290">
        <w:rPr>
          <w:rFonts w:ascii="Verdana" w:hAnsi="Verdana"/>
          <w:sz w:val="22"/>
          <w:szCs w:val="22"/>
        </w:rPr>
        <w:t>s</w:t>
      </w:r>
      <w:r w:rsidRPr="00DA2290">
        <w:rPr>
          <w:rFonts w:ascii="Verdana" w:hAnsi="Verdana"/>
          <w:sz w:val="22"/>
          <w:szCs w:val="22"/>
        </w:rPr>
        <w:t xml:space="preserve">. Given that the national provisions of prudential nature relevant to </w:t>
      </w:r>
      <w:r w:rsidR="0087461C" w:rsidRPr="00DA2290">
        <w:rPr>
          <w:rFonts w:ascii="Verdana" w:hAnsi="Verdana"/>
          <w:sz w:val="22"/>
          <w:szCs w:val="22"/>
        </w:rPr>
        <w:t>the occupational pension schemes</w:t>
      </w:r>
      <w:r w:rsidR="0087461C" w:rsidRPr="00DA2290" w:rsidDel="0087461C">
        <w:rPr>
          <w:rFonts w:ascii="Verdana" w:hAnsi="Verdana"/>
          <w:sz w:val="22"/>
          <w:szCs w:val="22"/>
        </w:rPr>
        <w:t xml:space="preserve"> </w:t>
      </w:r>
      <w:r w:rsidR="0073064C" w:rsidRPr="00DA2290">
        <w:rPr>
          <w:rFonts w:ascii="Verdana" w:hAnsi="Verdana"/>
          <w:sz w:val="22"/>
          <w:szCs w:val="22"/>
        </w:rPr>
        <w:t xml:space="preserve">neither </w:t>
      </w:r>
      <w:r w:rsidRPr="00DA2290">
        <w:rPr>
          <w:rFonts w:ascii="Verdana" w:hAnsi="Verdana"/>
          <w:sz w:val="22"/>
          <w:szCs w:val="22"/>
        </w:rPr>
        <w:t xml:space="preserve">have been reported to EIOPA </w:t>
      </w:r>
      <w:r w:rsidR="00C742F0" w:rsidRPr="00DA2290">
        <w:rPr>
          <w:rFonts w:ascii="Verdana" w:hAnsi="Verdana"/>
          <w:sz w:val="22"/>
          <w:szCs w:val="22"/>
        </w:rPr>
        <w:t xml:space="preserve">before </w:t>
      </w:r>
      <w:r w:rsidR="00220FA0" w:rsidRPr="00DA2290">
        <w:rPr>
          <w:rFonts w:ascii="Verdana" w:hAnsi="Verdana"/>
          <w:sz w:val="22"/>
          <w:szCs w:val="22"/>
        </w:rPr>
        <w:t>n</w:t>
      </w:r>
      <w:r w:rsidR="00C742F0" w:rsidRPr="00DA2290">
        <w:rPr>
          <w:rFonts w:ascii="Verdana" w:hAnsi="Verdana"/>
          <w:sz w:val="22"/>
          <w:szCs w:val="22"/>
        </w:rPr>
        <w:t xml:space="preserve">or </w:t>
      </w:r>
      <w:r w:rsidR="004D729F" w:rsidRPr="00DA2290">
        <w:rPr>
          <w:rFonts w:ascii="Verdana" w:hAnsi="Verdana"/>
          <w:sz w:val="22"/>
          <w:szCs w:val="22"/>
        </w:rPr>
        <w:t xml:space="preserve">have been </w:t>
      </w:r>
      <w:r w:rsidRPr="00DA2290">
        <w:rPr>
          <w:rFonts w:ascii="Verdana" w:hAnsi="Verdana"/>
          <w:sz w:val="22"/>
          <w:szCs w:val="22"/>
        </w:rPr>
        <w:t>published on EIOPA website, th</w:t>
      </w:r>
      <w:r w:rsidR="00050E24" w:rsidRPr="00DA2290">
        <w:rPr>
          <w:rFonts w:ascii="Verdana" w:hAnsi="Verdana"/>
          <w:sz w:val="22"/>
          <w:szCs w:val="22"/>
        </w:rPr>
        <w:t>e</w:t>
      </w:r>
      <w:r w:rsidRPr="00DA2290">
        <w:rPr>
          <w:rFonts w:ascii="Verdana" w:hAnsi="Verdana"/>
          <w:sz w:val="22"/>
          <w:szCs w:val="22"/>
        </w:rPr>
        <w:t>s</w:t>
      </w:r>
      <w:r w:rsidR="00050E24" w:rsidRPr="00DA2290">
        <w:rPr>
          <w:rFonts w:ascii="Verdana" w:hAnsi="Verdana"/>
          <w:sz w:val="22"/>
          <w:szCs w:val="22"/>
        </w:rPr>
        <w:t>e</w:t>
      </w:r>
      <w:r w:rsidRPr="00DA2290">
        <w:rPr>
          <w:rFonts w:ascii="Verdana" w:hAnsi="Verdana"/>
          <w:sz w:val="22"/>
          <w:szCs w:val="22"/>
        </w:rPr>
        <w:t xml:space="preserve"> technical standard</w:t>
      </w:r>
      <w:r w:rsidR="00050E24" w:rsidRPr="00DA2290">
        <w:rPr>
          <w:rFonts w:ascii="Verdana" w:hAnsi="Verdana"/>
          <w:sz w:val="22"/>
          <w:szCs w:val="22"/>
        </w:rPr>
        <w:t>s</w:t>
      </w:r>
      <w:r w:rsidRPr="00DA2290">
        <w:rPr>
          <w:rFonts w:ascii="Verdana" w:hAnsi="Verdana"/>
          <w:sz w:val="22"/>
          <w:szCs w:val="22"/>
        </w:rPr>
        <w:t xml:space="preserve"> change the baseline scenario</w:t>
      </w:r>
      <w:r w:rsidR="004D729F" w:rsidRPr="00DA2290">
        <w:rPr>
          <w:rFonts w:ascii="Verdana" w:hAnsi="Verdana"/>
          <w:sz w:val="22"/>
          <w:szCs w:val="22"/>
        </w:rPr>
        <w:t>,</w:t>
      </w:r>
      <w:r w:rsidRPr="00DA2290">
        <w:rPr>
          <w:rFonts w:ascii="Verdana" w:hAnsi="Verdana"/>
          <w:sz w:val="22"/>
          <w:szCs w:val="22"/>
        </w:rPr>
        <w:t xml:space="preserve"> i.e. the situation of “no reporting”. Member States had previously reported on the relevant social and </w:t>
      </w:r>
      <w:r w:rsidRPr="00DA2290">
        <w:rPr>
          <w:rFonts w:ascii="Verdana" w:hAnsi="Verdana"/>
          <w:sz w:val="22"/>
        </w:rPr>
        <w:t>labour</w:t>
      </w:r>
      <w:r w:rsidRPr="00DA2290">
        <w:rPr>
          <w:rFonts w:ascii="Verdana" w:hAnsi="Verdana"/>
          <w:sz w:val="22"/>
          <w:szCs w:val="22"/>
        </w:rPr>
        <w:t xml:space="preserve"> law applicable to cross border schemes to CEIOPS (EIOPA’s predecessor)</w:t>
      </w:r>
      <w:r w:rsidRPr="00DA2290">
        <w:rPr>
          <w:rStyle w:val="FootnoteReference"/>
          <w:rFonts w:ascii="Verdana" w:hAnsi="Verdana"/>
          <w:sz w:val="22"/>
          <w:szCs w:val="22"/>
        </w:rPr>
        <w:footnoteReference w:id="7"/>
      </w:r>
      <w:r w:rsidR="007C35C2" w:rsidRPr="00DA2290">
        <w:rPr>
          <w:rFonts w:ascii="Verdana" w:hAnsi="Verdana"/>
          <w:sz w:val="22"/>
          <w:szCs w:val="22"/>
        </w:rPr>
        <w:t>.</w:t>
      </w:r>
      <w:r w:rsidRPr="00DA2290">
        <w:rPr>
          <w:rFonts w:ascii="Verdana" w:hAnsi="Verdana"/>
          <w:sz w:val="22"/>
          <w:szCs w:val="22"/>
        </w:rPr>
        <w:t xml:space="preserve"> The </w:t>
      </w:r>
      <w:r w:rsidR="0084345D" w:rsidRPr="00DA2290">
        <w:rPr>
          <w:rFonts w:ascii="Verdana" w:hAnsi="Verdana"/>
          <w:sz w:val="22"/>
          <w:szCs w:val="22"/>
        </w:rPr>
        <w:t xml:space="preserve">terms “national provisions of a prudential nature” and “SLL” are not defined, though some examples of the latter are given in </w:t>
      </w:r>
      <w:r w:rsidRPr="00DA2290">
        <w:rPr>
          <w:rFonts w:ascii="Verdana" w:hAnsi="Verdana"/>
          <w:sz w:val="22"/>
          <w:szCs w:val="22"/>
        </w:rPr>
        <w:t>Recital 37 and in Article 20(1)</w:t>
      </w:r>
      <w:r w:rsidR="0084345D" w:rsidRPr="00DA2290">
        <w:rPr>
          <w:rFonts w:ascii="Verdana" w:hAnsi="Verdana"/>
          <w:sz w:val="22"/>
          <w:szCs w:val="22"/>
        </w:rPr>
        <w:t xml:space="preserve"> of the IORP Directive</w:t>
      </w:r>
      <w:r w:rsidRPr="00DA2290">
        <w:rPr>
          <w:rFonts w:ascii="Verdana" w:hAnsi="Verdana"/>
          <w:sz w:val="22"/>
          <w:szCs w:val="22"/>
        </w:rPr>
        <w:t xml:space="preserve">. </w:t>
      </w:r>
    </w:p>
    <w:p w:rsidR="00E1167D" w:rsidRPr="00DA2290" w:rsidRDefault="00E1167D" w:rsidP="00E1167D">
      <w:pPr>
        <w:autoSpaceDE w:val="0"/>
        <w:autoSpaceDN w:val="0"/>
        <w:adjustRightInd w:val="0"/>
        <w:spacing w:before="120" w:line="276" w:lineRule="auto"/>
        <w:ind w:left="567"/>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C3B31" w:rsidRPr="00DA2290" w:rsidTr="005501A2">
        <w:tc>
          <w:tcPr>
            <w:tcW w:w="8856" w:type="dxa"/>
          </w:tcPr>
          <w:p w:rsidR="006C3B31" w:rsidRPr="00DA2290" w:rsidRDefault="006C3B31" w:rsidP="005501A2">
            <w:pPr>
              <w:tabs>
                <w:tab w:val="num" w:pos="1980"/>
              </w:tabs>
              <w:autoSpaceDE w:val="0"/>
              <w:autoSpaceDN w:val="0"/>
              <w:adjustRightInd w:val="0"/>
              <w:spacing w:before="120"/>
              <w:jc w:val="both"/>
              <w:rPr>
                <w:rFonts w:ascii="Verdana" w:hAnsi="Verdana"/>
                <w:b/>
                <w:sz w:val="22"/>
                <w:szCs w:val="22"/>
              </w:rPr>
            </w:pPr>
            <w:r w:rsidRPr="00DA2290">
              <w:rPr>
                <w:rFonts w:ascii="Verdana" w:hAnsi="Verdana"/>
                <w:b/>
                <w:sz w:val="22"/>
                <w:szCs w:val="22"/>
              </w:rPr>
              <w:t>3: Objectives pursued</w:t>
            </w:r>
          </w:p>
        </w:tc>
      </w:tr>
    </w:tbl>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In order to mitigate the problem recognised in point 2: “Problem definition” of the IA </w:t>
      </w:r>
      <w:r w:rsidR="00050E24" w:rsidRPr="00DA2290">
        <w:rPr>
          <w:rFonts w:ascii="Verdana" w:hAnsi="Verdana"/>
          <w:sz w:val="22"/>
          <w:szCs w:val="22"/>
        </w:rPr>
        <w:t xml:space="preserve">the </w:t>
      </w:r>
      <w:r w:rsidRPr="00DA2290">
        <w:rPr>
          <w:rFonts w:ascii="Verdana" w:hAnsi="Verdana"/>
          <w:sz w:val="22"/>
          <w:szCs w:val="22"/>
        </w:rPr>
        <w:t>following objectives have been identified:</w:t>
      </w:r>
    </w:p>
    <w:p w:rsidR="006C3B31" w:rsidRPr="00DA2290" w:rsidRDefault="006C3B31" w:rsidP="006C3B31">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sz w:val="22"/>
          <w:szCs w:val="22"/>
        </w:rPr>
        <w:t xml:space="preserve">to </w:t>
      </w:r>
      <w:r w:rsidRPr="00DA2290">
        <w:rPr>
          <w:rFonts w:ascii="Verdana" w:hAnsi="Verdana"/>
          <w:bCs/>
          <w:sz w:val="22"/>
          <w:szCs w:val="22"/>
          <w:lang w:eastAsia="de-DE"/>
        </w:rPr>
        <w:t>implement</w:t>
      </w:r>
      <w:r w:rsidRPr="00DA2290">
        <w:rPr>
          <w:rFonts w:ascii="Verdana" w:hAnsi="Verdana"/>
          <w:sz w:val="22"/>
          <w:szCs w:val="22"/>
        </w:rPr>
        <w:t xml:space="preserve"> </w:t>
      </w:r>
      <w:r w:rsidR="00050E24" w:rsidRPr="00DA2290">
        <w:rPr>
          <w:rFonts w:ascii="Verdana" w:hAnsi="Verdana"/>
          <w:sz w:val="22"/>
          <w:szCs w:val="22"/>
        </w:rPr>
        <w:t xml:space="preserve">the </w:t>
      </w:r>
      <w:r w:rsidRPr="00DA2290">
        <w:rPr>
          <w:rFonts w:ascii="Verdana" w:hAnsi="Verdana"/>
          <w:sz w:val="22"/>
          <w:szCs w:val="22"/>
        </w:rPr>
        <w:t>requirements of Article 20(11) of the IORP Directive</w:t>
      </w:r>
      <w:r w:rsidR="00050E24" w:rsidRPr="00DA2290">
        <w:rPr>
          <w:rFonts w:ascii="Verdana" w:hAnsi="Verdana"/>
          <w:sz w:val="22"/>
          <w:szCs w:val="22"/>
        </w:rPr>
        <w:t>;</w:t>
      </w:r>
    </w:p>
    <w:p w:rsidR="006C3B31" w:rsidRPr="00DA2290" w:rsidRDefault="006C3B31" w:rsidP="006C3B31">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sz w:val="22"/>
          <w:szCs w:val="22"/>
        </w:rPr>
        <w:t>to create a centralised source of information at EU level on national provisions of prudential nature by providing uniform procedures, formats and templates to be used by competent authorities when transmitting and updating information to EIOPA.</w:t>
      </w:r>
    </w:p>
    <w:p w:rsidR="006C3B31" w:rsidRDefault="006C3B31" w:rsidP="006C3B31">
      <w:pPr>
        <w:tabs>
          <w:tab w:val="num" w:pos="1980"/>
        </w:tabs>
        <w:autoSpaceDE w:val="0"/>
        <w:autoSpaceDN w:val="0"/>
        <w:adjustRightInd w:val="0"/>
        <w:spacing w:before="120"/>
        <w:jc w:val="both"/>
        <w:rPr>
          <w:rFonts w:ascii="Verdana" w:hAnsi="Verdana"/>
          <w:sz w:val="22"/>
          <w:szCs w:val="22"/>
        </w:rPr>
      </w:pPr>
    </w:p>
    <w:p w:rsidR="0030115B" w:rsidRDefault="0030115B" w:rsidP="006C3B31">
      <w:pPr>
        <w:tabs>
          <w:tab w:val="num" w:pos="1980"/>
        </w:tabs>
        <w:autoSpaceDE w:val="0"/>
        <w:autoSpaceDN w:val="0"/>
        <w:adjustRightInd w:val="0"/>
        <w:spacing w:before="120"/>
        <w:jc w:val="both"/>
        <w:rPr>
          <w:rFonts w:ascii="Verdana" w:hAnsi="Verdana"/>
          <w:sz w:val="22"/>
          <w:szCs w:val="22"/>
        </w:rPr>
      </w:pPr>
    </w:p>
    <w:p w:rsidR="0030115B" w:rsidRDefault="0030115B" w:rsidP="006C3B31">
      <w:pPr>
        <w:tabs>
          <w:tab w:val="num" w:pos="1980"/>
        </w:tabs>
        <w:autoSpaceDE w:val="0"/>
        <w:autoSpaceDN w:val="0"/>
        <w:adjustRightInd w:val="0"/>
        <w:spacing w:before="120"/>
        <w:jc w:val="both"/>
        <w:rPr>
          <w:rFonts w:ascii="Verdana" w:hAnsi="Verdana"/>
          <w:sz w:val="22"/>
          <w:szCs w:val="22"/>
        </w:rPr>
      </w:pPr>
    </w:p>
    <w:p w:rsidR="0030115B" w:rsidRPr="00DA2290" w:rsidRDefault="0030115B" w:rsidP="006C3B31">
      <w:pPr>
        <w:tabs>
          <w:tab w:val="num" w:pos="1980"/>
        </w:tabs>
        <w:autoSpaceDE w:val="0"/>
        <w:autoSpaceDN w:val="0"/>
        <w:adjustRightInd w:val="0"/>
        <w:spacing w:before="120"/>
        <w:jc w:val="both"/>
        <w:rPr>
          <w:rFonts w:ascii="Verdana" w:hAnsi="Verdan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6C3B31" w:rsidRPr="00DA2290" w:rsidTr="005501A2">
        <w:tc>
          <w:tcPr>
            <w:tcW w:w="8838" w:type="dxa"/>
          </w:tcPr>
          <w:p w:rsidR="006C3B31" w:rsidRPr="00DA2290" w:rsidRDefault="006C3B31" w:rsidP="005501A2">
            <w:pPr>
              <w:tabs>
                <w:tab w:val="num" w:pos="1980"/>
              </w:tabs>
              <w:autoSpaceDE w:val="0"/>
              <w:autoSpaceDN w:val="0"/>
              <w:adjustRightInd w:val="0"/>
              <w:spacing w:before="120"/>
              <w:jc w:val="both"/>
              <w:rPr>
                <w:rFonts w:ascii="Verdana" w:hAnsi="Verdana"/>
                <w:b/>
                <w:sz w:val="22"/>
                <w:szCs w:val="22"/>
              </w:rPr>
            </w:pPr>
            <w:r w:rsidRPr="00DA2290">
              <w:rPr>
                <w:rFonts w:ascii="Verdana" w:hAnsi="Verdana"/>
                <w:b/>
                <w:sz w:val="22"/>
                <w:szCs w:val="22"/>
              </w:rPr>
              <w:t>4: Policy options, analysis of impacts and comparison</w:t>
            </w:r>
          </w:p>
        </w:tc>
      </w:tr>
    </w:tbl>
    <w:p w:rsidR="006C3B31" w:rsidRPr="00DA2290" w:rsidRDefault="006C3B31" w:rsidP="006C3B31">
      <w:pPr>
        <w:pStyle w:val="NoSpacing"/>
        <w:rPr>
          <w:rFonts w:ascii="Verdana" w:hAnsi="Verdana"/>
        </w:rPr>
      </w:pPr>
    </w:p>
    <w:p w:rsidR="006C3B31" w:rsidRPr="00DA2290" w:rsidRDefault="00B61655" w:rsidP="006C3B31">
      <w:pPr>
        <w:tabs>
          <w:tab w:val="num" w:pos="1980"/>
        </w:tabs>
        <w:autoSpaceDE w:val="0"/>
        <w:autoSpaceDN w:val="0"/>
        <w:adjustRightInd w:val="0"/>
        <w:spacing w:before="120"/>
        <w:jc w:val="both"/>
        <w:rPr>
          <w:rFonts w:ascii="Verdana" w:hAnsi="Verdana"/>
          <w:b/>
          <w:i/>
          <w:sz w:val="22"/>
          <w:szCs w:val="22"/>
          <w:u w:val="single"/>
        </w:rPr>
      </w:pPr>
      <w:r w:rsidRPr="00DA2290">
        <w:rPr>
          <w:rFonts w:ascii="Verdana" w:hAnsi="Verdana"/>
          <w:b/>
          <w:i/>
          <w:sz w:val="22"/>
          <w:szCs w:val="22"/>
          <w:u w:val="single"/>
        </w:rPr>
        <w:t>Policy</w:t>
      </w:r>
      <w:r w:rsidR="006C3B31" w:rsidRPr="00DA2290">
        <w:rPr>
          <w:rFonts w:ascii="Verdana" w:hAnsi="Verdana"/>
          <w:b/>
          <w:i/>
          <w:sz w:val="22"/>
          <w:szCs w:val="22"/>
          <w:u w:val="single"/>
        </w:rPr>
        <w:t xml:space="preserve"> options with regard to the </w:t>
      </w:r>
      <w:r w:rsidR="0065011C" w:rsidRPr="00DA2290">
        <w:rPr>
          <w:rFonts w:ascii="Verdana" w:hAnsi="Verdana"/>
          <w:b/>
          <w:i/>
          <w:sz w:val="22"/>
          <w:szCs w:val="22"/>
          <w:u w:val="single"/>
        </w:rPr>
        <w:t xml:space="preserve">ITS </w:t>
      </w:r>
      <w:r w:rsidR="006C3B31" w:rsidRPr="00DA2290">
        <w:rPr>
          <w:rFonts w:ascii="Verdana" w:hAnsi="Verdana"/>
          <w:b/>
          <w:i/>
          <w:sz w:val="22"/>
          <w:szCs w:val="22"/>
          <w:u w:val="single"/>
        </w:rPr>
        <w:t>reporting</w:t>
      </w:r>
      <w:r w:rsidR="00943C90" w:rsidRPr="00DA2290">
        <w:rPr>
          <w:rFonts w:ascii="Verdana" w:hAnsi="Verdana"/>
          <w:b/>
          <w:i/>
          <w:sz w:val="22"/>
          <w:szCs w:val="22"/>
          <w:u w:val="single"/>
        </w:rPr>
        <w:t xml:space="preserve"> requirement</w:t>
      </w:r>
    </w:p>
    <w:p w:rsidR="003A0226" w:rsidRPr="00DA2290" w:rsidRDefault="003A0226" w:rsidP="003A0226">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The policy development process has considered two </w:t>
      </w:r>
      <w:r w:rsidR="00A1056F" w:rsidRPr="00DA2290">
        <w:rPr>
          <w:rFonts w:ascii="Verdana" w:hAnsi="Verdana"/>
          <w:sz w:val="22"/>
          <w:szCs w:val="22"/>
        </w:rPr>
        <w:t xml:space="preserve">sets of </w:t>
      </w:r>
      <w:r w:rsidRPr="00DA2290">
        <w:rPr>
          <w:rFonts w:ascii="Verdana" w:hAnsi="Verdana"/>
          <w:sz w:val="22"/>
          <w:szCs w:val="22"/>
        </w:rPr>
        <w:t xml:space="preserve">policy options. </w:t>
      </w:r>
    </w:p>
    <w:p w:rsidR="00A1056F" w:rsidRPr="00DA2290" w:rsidRDefault="00A1056F" w:rsidP="00A1056F">
      <w:pPr>
        <w:autoSpaceDE w:val="0"/>
        <w:autoSpaceDN w:val="0"/>
        <w:adjustRightInd w:val="0"/>
        <w:spacing w:before="120" w:line="276" w:lineRule="auto"/>
        <w:jc w:val="both"/>
        <w:rPr>
          <w:rFonts w:ascii="Verdana" w:hAnsi="Verdana"/>
          <w:sz w:val="22"/>
          <w:szCs w:val="22"/>
        </w:rPr>
      </w:pPr>
      <w:r w:rsidRPr="00DA2290">
        <w:rPr>
          <w:rFonts w:ascii="Verdana" w:hAnsi="Verdana"/>
          <w:b/>
          <w:sz w:val="22"/>
          <w:szCs w:val="22"/>
          <w:u w:val="single"/>
        </w:rPr>
        <w:t>Set 1</w:t>
      </w:r>
      <w:r w:rsidRPr="00DA2290">
        <w:rPr>
          <w:rFonts w:ascii="Verdana" w:hAnsi="Verdana"/>
          <w:sz w:val="22"/>
          <w:szCs w:val="22"/>
        </w:rPr>
        <w:t>: on templates and formats</w:t>
      </w:r>
    </w:p>
    <w:p w:rsidR="00A1056F" w:rsidRPr="00DA2290" w:rsidRDefault="00A1056F" w:rsidP="00A1056F">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b/>
          <w:sz w:val="22"/>
          <w:szCs w:val="22"/>
        </w:rPr>
        <w:t xml:space="preserve">Option </w:t>
      </w:r>
      <w:r w:rsidR="00CB7CA9" w:rsidRPr="00DA2290">
        <w:rPr>
          <w:rFonts w:ascii="Verdana" w:hAnsi="Verdana"/>
          <w:b/>
          <w:sz w:val="22"/>
          <w:szCs w:val="22"/>
        </w:rPr>
        <w:t>1.</w:t>
      </w:r>
      <w:r w:rsidRPr="00DA2290">
        <w:rPr>
          <w:rFonts w:ascii="Verdana" w:hAnsi="Verdana"/>
          <w:b/>
          <w:sz w:val="22"/>
          <w:szCs w:val="22"/>
        </w:rPr>
        <w:t>1</w:t>
      </w:r>
      <w:r w:rsidRPr="00DA2290">
        <w:rPr>
          <w:rFonts w:ascii="Verdana" w:hAnsi="Verdana"/>
          <w:sz w:val="22"/>
          <w:szCs w:val="22"/>
        </w:rPr>
        <w:t xml:space="preserve">: in which </w:t>
      </w:r>
      <w:r w:rsidRPr="00DA2290">
        <w:rPr>
          <w:rFonts w:ascii="Verdana" w:hAnsi="Verdana" w:cs="Verdana"/>
          <w:color w:val="000000"/>
          <w:sz w:val="22"/>
          <w:szCs w:val="22"/>
        </w:rPr>
        <w:t xml:space="preserve">the draft ITS would </w:t>
      </w:r>
      <w:r w:rsidRPr="00DA2290">
        <w:rPr>
          <w:rFonts w:ascii="Verdana" w:hAnsi="Verdana" w:cs="Verdana"/>
          <w:b/>
          <w:color w:val="000000"/>
          <w:sz w:val="22"/>
          <w:szCs w:val="22"/>
        </w:rPr>
        <w:t>not</w:t>
      </w:r>
      <w:r w:rsidRPr="00DA2290">
        <w:rPr>
          <w:rFonts w:ascii="Verdana" w:hAnsi="Verdana" w:cs="Verdana"/>
          <w:color w:val="000000"/>
          <w:sz w:val="22"/>
          <w:szCs w:val="22"/>
        </w:rPr>
        <w:t xml:space="preserve"> clearly establish a uniform way of the ITS reporting requirement.</w:t>
      </w:r>
    </w:p>
    <w:p w:rsidR="00A1056F" w:rsidRPr="00DA2290" w:rsidRDefault="00A1056F" w:rsidP="00A1056F">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b/>
          <w:sz w:val="22"/>
          <w:szCs w:val="22"/>
        </w:rPr>
        <w:t xml:space="preserve">Option </w:t>
      </w:r>
      <w:r w:rsidR="00CB7CA9" w:rsidRPr="00DA2290">
        <w:rPr>
          <w:rFonts w:ascii="Verdana" w:hAnsi="Verdana"/>
          <w:b/>
          <w:sz w:val="22"/>
          <w:szCs w:val="22"/>
        </w:rPr>
        <w:t>1.</w:t>
      </w:r>
      <w:r w:rsidRPr="00DA2290">
        <w:rPr>
          <w:rFonts w:ascii="Verdana" w:hAnsi="Verdana"/>
          <w:b/>
          <w:sz w:val="22"/>
          <w:szCs w:val="22"/>
        </w:rPr>
        <w:t>2</w:t>
      </w:r>
      <w:r w:rsidRPr="00DA2290">
        <w:rPr>
          <w:rFonts w:ascii="Verdana" w:hAnsi="Verdana"/>
          <w:sz w:val="22"/>
          <w:szCs w:val="22"/>
        </w:rPr>
        <w:t xml:space="preserve">: in which </w:t>
      </w:r>
      <w:r w:rsidRPr="00DA2290">
        <w:rPr>
          <w:rFonts w:ascii="Verdana" w:hAnsi="Verdana" w:cs="Verdana"/>
          <w:color w:val="000000"/>
          <w:sz w:val="22"/>
          <w:szCs w:val="22"/>
        </w:rPr>
        <w:t>the draft ITS would clearly establish a uniform way of the ITS reporting requirement.</w:t>
      </w:r>
    </w:p>
    <w:p w:rsidR="00A1056F" w:rsidRPr="00DA2290" w:rsidRDefault="006C0047" w:rsidP="00A1056F">
      <w:pPr>
        <w:autoSpaceDE w:val="0"/>
        <w:autoSpaceDN w:val="0"/>
        <w:adjustRightInd w:val="0"/>
        <w:spacing w:before="120" w:line="276" w:lineRule="auto"/>
        <w:jc w:val="both"/>
        <w:rPr>
          <w:rFonts w:ascii="Verdana" w:hAnsi="Verdana"/>
          <w:sz w:val="22"/>
          <w:szCs w:val="22"/>
        </w:rPr>
      </w:pPr>
      <w:r>
        <w:rPr>
          <w:rFonts w:ascii="Verdana" w:hAnsi="Verdana"/>
          <w:sz w:val="22"/>
        </w:rPr>
        <w:pict>
          <v:shapetype id="_x0000_t202" coordsize="21600,21600" o:spt="202" path="m,l,21600r21600,l21600,xe">
            <v:stroke joinstyle="miter"/>
            <v:path gradientshapeok="t" o:connecttype="rect"/>
          </v:shapetype>
          <v:shape id="Text Box 7" o:spid="_x0000_s1027" type="#_x0000_t202" style="position:absolute;left:0;text-align:left;margin-left:221.65pt;margin-top:17.75pt;width:206.8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" fillcolor="white [3201]" strokeweight=".5pt">
            <v:textbox style="mso-next-textbox:#Text Box 7">
              <w:txbxContent>
                <w:p w:rsidR="00921D01" w:rsidRPr="00485B3E" w:rsidRDefault="00921D01" w:rsidP="00485B3E">
                  <w:pPr>
                    <w:pStyle w:val="CM4"/>
                    <w:spacing w:before="60" w:after="60"/>
                  </w:pPr>
                  <w:r w:rsidRPr="00A1056F">
                    <w:rPr>
                      <w:rFonts w:ascii="Verdana" w:hAnsi="Verdana"/>
                      <w:b/>
                      <w:sz w:val="16"/>
                      <w:szCs w:val="16"/>
                    </w:rPr>
                    <w:t xml:space="preserve">Option </w:t>
                  </w:r>
                  <w:r>
                    <w:rPr>
                      <w:rFonts w:ascii="Verdana" w:hAnsi="Verdana"/>
                      <w:b/>
                      <w:sz w:val="16"/>
                      <w:szCs w:val="16"/>
                    </w:rPr>
                    <w:t>1.</w:t>
                  </w:r>
                  <w:r w:rsidRPr="00A1056F">
                    <w:rPr>
                      <w:rFonts w:ascii="Verdana" w:hAnsi="Verdana"/>
                      <w:b/>
                      <w:sz w:val="16"/>
                      <w:szCs w:val="16"/>
                    </w:rPr>
                    <w:t>2</w:t>
                  </w:r>
                  <w:r w:rsidRPr="00A1056F">
                    <w:rPr>
                      <w:rFonts w:ascii="Verdana" w:hAnsi="Verdana"/>
                      <w:sz w:val="16"/>
                      <w:szCs w:val="16"/>
                    </w:rPr>
                    <w:t xml:space="preserve">: </w:t>
                  </w:r>
                  <w:r w:rsidRPr="00A1056F">
                    <w:rPr>
                      <w:rFonts w:ascii="Verdana" w:hAnsi="Verdana"/>
                      <w:sz w:val="16"/>
                      <w:szCs w:val="16"/>
                      <w:lang w:val="en-US"/>
                    </w:rPr>
                    <w:t xml:space="preserve">MS to report </w:t>
                  </w:r>
                  <w:r w:rsidRPr="00A1056F">
                    <w:rPr>
                      <w:rFonts w:ascii="Verdana" w:hAnsi="Verdana"/>
                      <w:sz w:val="16"/>
                      <w:szCs w:val="16"/>
                    </w:rPr>
                    <w:t>to EIOPA national provisions of prudential nature</w:t>
                  </w:r>
                  <w:r w:rsidRPr="00A1056F" w:rsidDel="00EC3779">
                    <w:rPr>
                      <w:rFonts w:ascii="Verdana" w:hAnsi="Verdana"/>
                      <w:sz w:val="16"/>
                      <w:szCs w:val="16"/>
                    </w:rPr>
                    <w:t xml:space="preserve"> </w:t>
                  </w:r>
                  <w:r w:rsidRPr="00A1056F">
                    <w:rPr>
                      <w:rFonts w:ascii="Verdana" w:hAnsi="Verdana"/>
                      <w:color w:val="000000"/>
                      <w:sz w:val="16"/>
                      <w:szCs w:val="16"/>
                    </w:rPr>
                    <w:t>relevant to the field of occupational pension schemes</w:t>
                  </w:r>
                  <w:r w:rsidRPr="00A1056F">
                    <w:rPr>
                      <w:rFonts w:ascii="Verdana" w:hAnsi="Verdana"/>
                      <w:sz w:val="16"/>
                      <w:szCs w:val="16"/>
                    </w:rPr>
                    <w:t xml:space="preserve"> </w:t>
                  </w:r>
                  <w:r w:rsidRPr="00A1056F">
                    <w:rPr>
                      <w:rFonts w:ascii="Verdana" w:hAnsi="Verdana"/>
                      <w:b/>
                      <w:sz w:val="16"/>
                      <w:szCs w:val="16"/>
                    </w:rPr>
                    <w:t>in a uniform way (fixed structure of the template)</w:t>
                  </w:r>
                </w:p>
                <w:p w:rsidR="00921D01" w:rsidRPr="00846054" w:rsidRDefault="00921D01" w:rsidP="003A0226">
                  <w:pPr>
                    <w:tabs>
                      <w:tab w:val="left" w:pos="0"/>
                    </w:tabs>
                    <w:spacing w:line="276" w:lineRule="auto"/>
                    <w:rPr>
                      <w:rFonts w:ascii="Verdana" w:hAnsi="Verdana"/>
                      <w:sz w:val="16"/>
                      <w:szCs w:val="16"/>
                    </w:rPr>
                  </w:pPr>
                </w:p>
                <w:p w:rsidR="00921D01" w:rsidRPr="00846054" w:rsidRDefault="00921D01" w:rsidP="003A0226">
                  <w:pPr>
                    <w:rPr>
                      <w:rFonts w:ascii="Verdana" w:hAnsi="Verdana"/>
                      <w:sz w:val="16"/>
                      <w:szCs w:val="16"/>
                    </w:rPr>
                  </w:pPr>
                </w:p>
              </w:txbxContent>
            </v:textbox>
          </v:shape>
        </w:pict>
      </w:r>
      <w:r>
        <w:rPr>
          <w:rFonts w:ascii="Verdana" w:hAnsi="Verdana"/>
          <w:sz w:val="22"/>
        </w:rPr>
        <w:pict>
          <v:shape id="Text Box 6" o:spid="_x0000_s1026" type="#_x0000_t202" style="position:absolute;left:0;text-align:left;margin-left:-1.1pt;margin-top:16.25pt;width:207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" fillcolor="white [3201]" strokeweight=".5pt">
            <v:textbox style="mso-next-textbox:#Text Box 6">
              <w:txbxContent>
                <w:p w:rsidR="00921D01" w:rsidRPr="00846054" w:rsidRDefault="00921D01" w:rsidP="00E541E0">
                  <w:pPr>
                    <w:pStyle w:val="CM4"/>
                    <w:spacing w:before="60" w:after="60"/>
                    <w:rPr>
                      <w:rFonts w:ascii="Verdana" w:hAnsi="Verdana"/>
                      <w:sz w:val="16"/>
                      <w:szCs w:val="16"/>
                    </w:rPr>
                  </w:pPr>
                  <w:r w:rsidRPr="00A1056F">
                    <w:rPr>
                      <w:rFonts w:ascii="Verdana" w:hAnsi="Verdana"/>
                      <w:b/>
                      <w:sz w:val="16"/>
                      <w:szCs w:val="16"/>
                    </w:rPr>
                    <w:t xml:space="preserve">Option </w:t>
                  </w:r>
                  <w:r>
                    <w:rPr>
                      <w:rFonts w:ascii="Verdana" w:hAnsi="Verdana"/>
                      <w:b/>
                      <w:sz w:val="16"/>
                      <w:szCs w:val="16"/>
                    </w:rPr>
                    <w:t>1.</w:t>
                  </w:r>
                  <w:r w:rsidRPr="00A1056F">
                    <w:rPr>
                      <w:rFonts w:ascii="Verdana" w:hAnsi="Verdana"/>
                      <w:b/>
                      <w:sz w:val="16"/>
                      <w:szCs w:val="16"/>
                    </w:rPr>
                    <w:t>1</w:t>
                  </w:r>
                  <w:r w:rsidRPr="00A1056F">
                    <w:rPr>
                      <w:rFonts w:ascii="Verdana" w:hAnsi="Verdana"/>
                      <w:sz w:val="16"/>
                      <w:szCs w:val="16"/>
                    </w:rPr>
                    <w:t xml:space="preserve">: MS to report to EIOPA national provisions of prudential nature </w:t>
                  </w:r>
                  <w:r w:rsidRPr="00A1056F">
                    <w:rPr>
                      <w:rFonts w:ascii="Verdana" w:hAnsi="Verdana"/>
                      <w:color w:val="000000"/>
                      <w:sz w:val="16"/>
                      <w:szCs w:val="16"/>
                    </w:rPr>
                    <w:t>relevant to the field of occupational pension schemes</w:t>
                  </w:r>
                  <w:r w:rsidRPr="00A1056F">
                    <w:rPr>
                      <w:color w:val="000000"/>
                      <w:sz w:val="19"/>
                      <w:szCs w:val="19"/>
                    </w:rPr>
                    <w:t xml:space="preserve"> </w:t>
                  </w:r>
                  <w:r w:rsidRPr="00A1056F">
                    <w:rPr>
                      <w:rFonts w:ascii="Verdana" w:hAnsi="Verdana"/>
                      <w:b/>
                      <w:sz w:val="16"/>
                      <w:szCs w:val="16"/>
                    </w:rPr>
                    <w:t>not in a uniform way (no fixed structure of the template)</w:t>
                  </w:r>
                  <w:r>
                    <w:rPr>
                      <w:rFonts w:ascii="Verdana" w:hAnsi="Verdana"/>
                      <w:b/>
                      <w:sz w:val="16"/>
                      <w:szCs w:val="16"/>
                    </w:rPr>
                    <w:t xml:space="preserve"> </w:t>
                  </w:r>
                </w:p>
              </w:txbxContent>
            </v:textbox>
          </v:shape>
        </w:pict>
      </w:r>
    </w:p>
    <w:p w:rsidR="00A1056F" w:rsidRPr="00DA2290" w:rsidRDefault="00A1056F" w:rsidP="00A1056F">
      <w:pPr>
        <w:autoSpaceDE w:val="0"/>
        <w:autoSpaceDN w:val="0"/>
        <w:adjustRightInd w:val="0"/>
        <w:spacing w:before="120" w:line="276" w:lineRule="auto"/>
        <w:jc w:val="both"/>
        <w:rPr>
          <w:rFonts w:ascii="Verdana" w:hAnsi="Verdana"/>
          <w:sz w:val="22"/>
          <w:szCs w:val="22"/>
        </w:rPr>
      </w:pPr>
    </w:p>
    <w:p w:rsidR="003A0226" w:rsidRPr="00DA2290" w:rsidRDefault="003A0226" w:rsidP="003A0226">
      <w:pPr>
        <w:autoSpaceDE w:val="0"/>
        <w:autoSpaceDN w:val="0"/>
        <w:adjustRightInd w:val="0"/>
        <w:spacing w:before="120" w:line="276" w:lineRule="auto"/>
        <w:ind w:left="567"/>
        <w:jc w:val="both"/>
        <w:rPr>
          <w:rFonts w:ascii="Verdana" w:hAnsi="Verdana"/>
          <w:sz w:val="22"/>
          <w:szCs w:val="22"/>
        </w:rPr>
      </w:pPr>
    </w:p>
    <w:p w:rsidR="003A0226" w:rsidRPr="00DA2290" w:rsidRDefault="003A0226" w:rsidP="003A0226">
      <w:pPr>
        <w:autoSpaceDE w:val="0"/>
        <w:autoSpaceDN w:val="0"/>
        <w:adjustRightInd w:val="0"/>
        <w:spacing w:before="120" w:line="276" w:lineRule="auto"/>
        <w:ind w:left="567"/>
        <w:jc w:val="both"/>
        <w:rPr>
          <w:rFonts w:ascii="Verdana" w:hAnsi="Verdana"/>
          <w:sz w:val="22"/>
          <w:szCs w:val="22"/>
        </w:rPr>
      </w:pPr>
    </w:p>
    <w:p w:rsidR="003A0226" w:rsidRPr="00DA2290" w:rsidRDefault="00A1056F" w:rsidP="00A1056F">
      <w:pPr>
        <w:autoSpaceDE w:val="0"/>
        <w:autoSpaceDN w:val="0"/>
        <w:adjustRightInd w:val="0"/>
        <w:spacing w:before="120" w:line="276" w:lineRule="auto"/>
        <w:jc w:val="both"/>
        <w:rPr>
          <w:rFonts w:ascii="Verdana" w:hAnsi="Verdana"/>
          <w:sz w:val="22"/>
          <w:szCs w:val="22"/>
        </w:rPr>
      </w:pPr>
      <w:r w:rsidRPr="00DA2290">
        <w:rPr>
          <w:rFonts w:ascii="Verdana" w:hAnsi="Verdana"/>
          <w:b/>
          <w:sz w:val="22"/>
          <w:szCs w:val="22"/>
          <w:u w:val="single"/>
        </w:rPr>
        <w:t>Set 2</w:t>
      </w:r>
      <w:r w:rsidRPr="00DA2290">
        <w:rPr>
          <w:rFonts w:ascii="Verdana" w:hAnsi="Verdana"/>
          <w:sz w:val="22"/>
          <w:szCs w:val="22"/>
        </w:rPr>
        <w:t>: on procedures (frequency) of reporting</w:t>
      </w:r>
    </w:p>
    <w:p w:rsidR="00F33426" w:rsidRPr="00DA2290" w:rsidRDefault="00F33426" w:rsidP="00F33426">
      <w:pPr>
        <w:numPr>
          <w:ilvl w:val="1"/>
          <w:numId w:val="47"/>
        </w:numPr>
        <w:spacing w:line="276" w:lineRule="auto"/>
        <w:jc w:val="both"/>
        <w:rPr>
          <w:rFonts w:ascii="Verdana" w:hAnsi="Verdana" w:cs="Arial"/>
          <w:sz w:val="22"/>
          <w:szCs w:val="22"/>
        </w:rPr>
      </w:pPr>
      <w:r w:rsidRPr="00DA2290">
        <w:rPr>
          <w:rFonts w:ascii="Verdana" w:hAnsi="Verdana" w:cs="Arial"/>
          <w:b/>
          <w:sz w:val="22"/>
          <w:szCs w:val="22"/>
        </w:rPr>
        <w:t xml:space="preserve">Option </w:t>
      </w:r>
      <w:r w:rsidR="00CB7CA9" w:rsidRPr="00DA2290">
        <w:rPr>
          <w:rFonts w:ascii="Verdana" w:hAnsi="Verdana" w:cs="Arial"/>
          <w:b/>
          <w:sz w:val="22"/>
          <w:szCs w:val="22"/>
        </w:rPr>
        <w:t>2.</w:t>
      </w:r>
      <w:r w:rsidRPr="00DA2290">
        <w:rPr>
          <w:rFonts w:ascii="Verdana" w:hAnsi="Verdana" w:cs="Arial"/>
          <w:b/>
          <w:sz w:val="22"/>
          <w:szCs w:val="22"/>
        </w:rPr>
        <w:t>1</w:t>
      </w:r>
      <w:r w:rsidRPr="00DA2290">
        <w:rPr>
          <w:rFonts w:ascii="Verdana" w:hAnsi="Verdana" w:cs="Arial"/>
          <w:sz w:val="22"/>
          <w:szCs w:val="22"/>
        </w:rPr>
        <w:t xml:space="preserve"> – in which c</w:t>
      </w:r>
      <w:r w:rsidRPr="00DA2290">
        <w:rPr>
          <w:rFonts w:ascii="Verdana" w:hAnsi="Verdana"/>
          <w:sz w:val="22"/>
          <w:szCs w:val="22"/>
        </w:rPr>
        <w:t xml:space="preserve">ompetent authorities would transmit to EIOPA information on </w:t>
      </w:r>
      <w:r w:rsidRPr="00DA2290">
        <w:rPr>
          <w:rFonts w:ascii="Verdana" w:hAnsi="Verdana"/>
          <w:bCs/>
          <w:sz w:val="22"/>
          <w:szCs w:val="22"/>
          <w:lang w:eastAsia="de-DE"/>
        </w:rPr>
        <w:t>prudential</w:t>
      </w:r>
      <w:r w:rsidRPr="00DA2290">
        <w:rPr>
          <w:rFonts w:ascii="Verdana" w:hAnsi="Verdana"/>
          <w:sz w:val="22"/>
          <w:szCs w:val="22"/>
        </w:rPr>
        <w:t xml:space="preserve"> rules every two years and report to EIOPA on any “significant change” in the national provisions.</w:t>
      </w:r>
      <w:r w:rsidRPr="00DA2290">
        <w:rPr>
          <w:rFonts w:ascii="Verdana" w:hAnsi="Verdana" w:cs="Arial"/>
          <w:sz w:val="22"/>
          <w:szCs w:val="22"/>
        </w:rPr>
        <w:t xml:space="preserve"> </w:t>
      </w:r>
    </w:p>
    <w:p w:rsidR="00F33426" w:rsidRPr="00DA2290" w:rsidRDefault="00F33426" w:rsidP="00F33426">
      <w:pPr>
        <w:numPr>
          <w:ilvl w:val="1"/>
          <w:numId w:val="47"/>
        </w:numPr>
        <w:spacing w:line="276" w:lineRule="auto"/>
        <w:jc w:val="both"/>
        <w:rPr>
          <w:sz w:val="22"/>
          <w:szCs w:val="22"/>
        </w:rPr>
      </w:pPr>
      <w:r w:rsidRPr="00DA2290">
        <w:rPr>
          <w:rFonts w:ascii="Verdana" w:hAnsi="Verdana" w:cs="Arial"/>
          <w:b/>
          <w:sz w:val="22"/>
          <w:szCs w:val="22"/>
        </w:rPr>
        <w:t xml:space="preserve">Option </w:t>
      </w:r>
      <w:r w:rsidR="00CB7CA9" w:rsidRPr="00DA2290">
        <w:rPr>
          <w:rFonts w:ascii="Verdana" w:hAnsi="Verdana" w:cs="Arial"/>
          <w:b/>
          <w:sz w:val="22"/>
          <w:szCs w:val="22"/>
        </w:rPr>
        <w:t>2.</w:t>
      </w:r>
      <w:r w:rsidRPr="00DA2290">
        <w:rPr>
          <w:rFonts w:ascii="Verdana" w:hAnsi="Verdana" w:cs="Arial"/>
          <w:b/>
          <w:sz w:val="22"/>
          <w:szCs w:val="22"/>
        </w:rPr>
        <w:t>2</w:t>
      </w:r>
      <w:r w:rsidRPr="00DA2290">
        <w:rPr>
          <w:rFonts w:ascii="Verdana" w:hAnsi="Verdana" w:cs="Arial"/>
          <w:sz w:val="22"/>
          <w:szCs w:val="22"/>
        </w:rPr>
        <w:t xml:space="preserve"> – in which c</w:t>
      </w:r>
      <w:r w:rsidRPr="00DA2290">
        <w:rPr>
          <w:rFonts w:ascii="Verdana" w:hAnsi="Verdana"/>
          <w:sz w:val="22"/>
          <w:szCs w:val="22"/>
        </w:rPr>
        <w:t xml:space="preserve">ompetent authorities would </w:t>
      </w:r>
      <w:r w:rsidRPr="00DA2290">
        <w:rPr>
          <w:rFonts w:ascii="Verdana" w:hAnsi="Verdana" w:cs="Arial"/>
          <w:sz w:val="22"/>
          <w:szCs w:val="22"/>
        </w:rPr>
        <w:t xml:space="preserve">not </w:t>
      </w:r>
      <w:r w:rsidRPr="00DA2290">
        <w:rPr>
          <w:rFonts w:ascii="Verdana" w:hAnsi="Verdana"/>
          <w:bCs/>
          <w:sz w:val="22"/>
          <w:szCs w:val="22"/>
          <w:lang w:eastAsia="de-DE"/>
        </w:rPr>
        <w:t>transfer</w:t>
      </w:r>
      <w:r w:rsidRPr="00DA2290">
        <w:rPr>
          <w:rFonts w:ascii="Verdana" w:hAnsi="Verdana" w:cs="Arial"/>
          <w:sz w:val="22"/>
          <w:szCs w:val="22"/>
        </w:rPr>
        <w:t xml:space="preserve"> “significant change” updates to EIOPA. </w:t>
      </w:r>
      <w:r w:rsidR="003B77D4" w:rsidRPr="00DA2290">
        <w:rPr>
          <w:rFonts w:ascii="Verdana" w:hAnsi="Verdana" w:cs="Arial"/>
          <w:sz w:val="22"/>
          <w:szCs w:val="22"/>
        </w:rPr>
        <w:t>C</w:t>
      </w:r>
      <w:r w:rsidRPr="00DA2290">
        <w:rPr>
          <w:rFonts w:ascii="Verdana" w:hAnsi="Verdana" w:cs="Arial"/>
          <w:sz w:val="22"/>
          <w:szCs w:val="22"/>
        </w:rPr>
        <w:t>omplete</w:t>
      </w:r>
      <w:r w:rsidR="00FA6BBE" w:rsidRPr="00DA2290">
        <w:rPr>
          <w:rFonts w:ascii="Verdana" w:hAnsi="Verdana" w:cs="Arial"/>
          <w:sz w:val="22"/>
          <w:szCs w:val="22"/>
        </w:rPr>
        <w:t xml:space="preserve"> </w:t>
      </w:r>
      <w:r w:rsidRPr="00DA2290">
        <w:rPr>
          <w:rFonts w:ascii="Verdana" w:hAnsi="Verdana" w:cs="Arial"/>
          <w:sz w:val="22"/>
          <w:szCs w:val="22"/>
        </w:rPr>
        <w:t xml:space="preserve">templates would be sent annually instead of </w:t>
      </w:r>
      <w:r w:rsidR="008824D5" w:rsidRPr="00DA2290">
        <w:rPr>
          <w:rFonts w:ascii="Verdana" w:hAnsi="Verdana" w:cs="Arial"/>
          <w:sz w:val="22"/>
          <w:szCs w:val="22"/>
        </w:rPr>
        <w:t xml:space="preserve">on </w:t>
      </w:r>
      <w:r w:rsidRPr="00DA2290">
        <w:rPr>
          <w:rFonts w:ascii="Verdana" w:hAnsi="Verdana" w:cs="Arial"/>
          <w:sz w:val="22"/>
          <w:szCs w:val="22"/>
        </w:rPr>
        <w:t>two</w:t>
      </w:r>
      <w:r w:rsidR="008824D5" w:rsidRPr="00DA2290">
        <w:rPr>
          <w:rFonts w:ascii="Verdana" w:hAnsi="Verdana" w:cs="Arial"/>
          <w:sz w:val="22"/>
          <w:szCs w:val="22"/>
        </w:rPr>
        <w:t>-</w:t>
      </w:r>
      <w:r w:rsidRPr="00DA2290">
        <w:rPr>
          <w:rFonts w:ascii="Verdana" w:hAnsi="Verdana" w:cs="Arial"/>
          <w:sz w:val="22"/>
          <w:szCs w:val="22"/>
        </w:rPr>
        <w:t>year basis as stipulated by Article 20(11)</w:t>
      </w:r>
      <w:r w:rsidR="00C33755" w:rsidRPr="00DA2290">
        <w:rPr>
          <w:rFonts w:ascii="Verdana" w:hAnsi="Verdana" w:cs="Arial"/>
          <w:sz w:val="22"/>
          <w:szCs w:val="22"/>
        </w:rPr>
        <w:t xml:space="preserve"> of the IORP Directive</w:t>
      </w:r>
      <w:r w:rsidRPr="00DA2290">
        <w:rPr>
          <w:rFonts w:ascii="Verdana" w:hAnsi="Verdana" w:cs="Arial"/>
          <w:sz w:val="22"/>
          <w:szCs w:val="22"/>
        </w:rPr>
        <w:t xml:space="preserve">. </w:t>
      </w:r>
    </w:p>
    <w:p w:rsidR="003A0226" w:rsidRPr="00DA2290" w:rsidRDefault="006C0047" w:rsidP="003A0226">
      <w:pPr>
        <w:autoSpaceDE w:val="0"/>
        <w:autoSpaceDN w:val="0"/>
        <w:adjustRightInd w:val="0"/>
        <w:spacing w:before="120" w:line="276" w:lineRule="auto"/>
        <w:ind w:left="567"/>
        <w:jc w:val="both"/>
        <w:rPr>
          <w:rFonts w:ascii="Verdana" w:hAnsi="Verdana"/>
          <w:sz w:val="22"/>
          <w:szCs w:val="22"/>
        </w:rPr>
      </w:pPr>
      <w:r>
        <w:rPr>
          <w:rFonts w:ascii="Verdana" w:hAnsi="Verdana"/>
          <w:noProof/>
          <w:sz w:val="22"/>
          <w:szCs w:val="22"/>
          <w:lang w:eastAsia="en-IE"/>
        </w:rPr>
        <w:pict>
          <v:shape id="_x0000_s1031" type="#_x0000_t202" style="position:absolute;left:0;text-align:left;margin-left:233.65pt;margin-top:4.45pt;width:207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" fillcolor="white [3201]" strokeweight=".5pt">
            <v:textbox style="mso-next-textbox:#_x0000_s1031">
              <w:txbxContent>
                <w:p w:rsidR="00921D01" w:rsidRPr="00846054" w:rsidRDefault="00921D01" w:rsidP="00F33426">
                  <w:pPr>
                    <w:pStyle w:val="CM4"/>
                    <w:spacing w:before="60" w:after="60"/>
                    <w:rPr>
                      <w:rFonts w:ascii="Verdana" w:hAnsi="Verdana"/>
                      <w:sz w:val="16"/>
                      <w:szCs w:val="16"/>
                    </w:rPr>
                  </w:pPr>
                  <w:r w:rsidRPr="00A1056F">
                    <w:rPr>
                      <w:rFonts w:ascii="Verdana" w:hAnsi="Verdana"/>
                      <w:b/>
                      <w:sz w:val="16"/>
                      <w:szCs w:val="16"/>
                    </w:rPr>
                    <w:t xml:space="preserve">Option </w:t>
                  </w:r>
                  <w:r>
                    <w:rPr>
                      <w:rFonts w:ascii="Verdana" w:hAnsi="Verdana"/>
                      <w:b/>
                      <w:sz w:val="16"/>
                      <w:szCs w:val="16"/>
                    </w:rPr>
                    <w:t>2.2</w:t>
                  </w:r>
                  <w:r w:rsidRPr="00A1056F">
                    <w:rPr>
                      <w:rFonts w:ascii="Verdana" w:hAnsi="Verdana"/>
                      <w:sz w:val="16"/>
                      <w:szCs w:val="16"/>
                    </w:rPr>
                    <w:t xml:space="preserve">: MS to report to EIOPA national provisions of prudential nature </w:t>
                  </w:r>
                  <w:r w:rsidRPr="00A1056F">
                    <w:rPr>
                      <w:rFonts w:ascii="Verdana" w:hAnsi="Verdana"/>
                      <w:color w:val="000000"/>
                      <w:sz w:val="16"/>
                      <w:szCs w:val="16"/>
                    </w:rPr>
                    <w:t>relevant to the field of occupational pension schemes</w:t>
                  </w:r>
                  <w:r w:rsidRPr="00DC1281">
                    <w:rPr>
                      <w:rFonts w:ascii="Verdana" w:hAnsi="Verdana"/>
                      <w:color w:val="000000"/>
                      <w:sz w:val="16"/>
                      <w:szCs w:val="16"/>
                    </w:rPr>
                    <w:t xml:space="preserve"> on annual basis; no reporting on significant change</w:t>
                  </w:r>
                  <w:r w:rsidRPr="00A1056F">
                    <w:rPr>
                      <w:rFonts w:ascii="Verdana" w:hAnsi="Verdana"/>
                      <w:sz w:val="16"/>
                      <w:szCs w:val="16"/>
                    </w:rPr>
                    <w:t xml:space="preserve"> </w:t>
                  </w:r>
                </w:p>
              </w:txbxContent>
            </v:textbox>
          </v:shape>
        </w:pict>
      </w:r>
      <w:r>
        <w:rPr>
          <w:rFonts w:ascii="Verdana" w:hAnsi="Verdana"/>
          <w:noProof/>
          <w:sz w:val="22"/>
          <w:szCs w:val="22"/>
          <w:lang w:eastAsia="en-IE"/>
        </w:rPr>
        <w:pict>
          <v:shape id="_x0000_s1030" type="#_x0000_t202" style="position:absolute;left:0;text-align:left;margin-left:14.65pt;margin-top:4.45pt;width:207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" fillcolor="white [3201]" strokeweight=".5pt">
            <v:textbox style="mso-next-textbox:#_x0000_s1030">
              <w:txbxContent>
                <w:p w:rsidR="00921D01" w:rsidRPr="00846054" w:rsidRDefault="00921D01" w:rsidP="00F33426">
                  <w:pPr>
                    <w:pStyle w:val="CM4"/>
                    <w:spacing w:before="60" w:after="60"/>
                    <w:rPr>
                      <w:rFonts w:ascii="Verdana" w:hAnsi="Verdana"/>
                      <w:sz w:val="16"/>
                      <w:szCs w:val="16"/>
                    </w:rPr>
                  </w:pPr>
                  <w:r w:rsidRPr="00A1056F">
                    <w:rPr>
                      <w:rFonts w:ascii="Verdana" w:hAnsi="Verdana"/>
                      <w:b/>
                      <w:sz w:val="16"/>
                      <w:szCs w:val="16"/>
                    </w:rPr>
                    <w:t xml:space="preserve">Option </w:t>
                  </w:r>
                  <w:r>
                    <w:rPr>
                      <w:rFonts w:ascii="Verdana" w:hAnsi="Verdana"/>
                      <w:b/>
                      <w:sz w:val="16"/>
                      <w:szCs w:val="16"/>
                    </w:rPr>
                    <w:t>2.</w:t>
                  </w:r>
                  <w:r w:rsidRPr="00A1056F">
                    <w:rPr>
                      <w:rFonts w:ascii="Verdana" w:hAnsi="Verdana"/>
                      <w:b/>
                      <w:sz w:val="16"/>
                      <w:szCs w:val="16"/>
                    </w:rPr>
                    <w:t>1</w:t>
                  </w:r>
                  <w:r w:rsidRPr="00A1056F">
                    <w:rPr>
                      <w:rFonts w:ascii="Verdana" w:hAnsi="Verdana"/>
                      <w:sz w:val="16"/>
                      <w:szCs w:val="16"/>
                    </w:rPr>
                    <w:t xml:space="preserve">: MS to report to EIOPA national provisions of prudential nature </w:t>
                  </w:r>
                  <w:r w:rsidRPr="00A1056F">
                    <w:rPr>
                      <w:rFonts w:ascii="Verdana" w:hAnsi="Verdana"/>
                      <w:color w:val="000000"/>
                      <w:sz w:val="16"/>
                      <w:szCs w:val="16"/>
                    </w:rPr>
                    <w:t>relevant to the field of occupational pension schemes</w:t>
                  </w:r>
                  <w:r w:rsidRPr="00A1056F">
                    <w:rPr>
                      <w:color w:val="000000"/>
                      <w:sz w:val="19"/>
                      <w:szCs w:val="19"/>
                    </w:rPr>
                    <w:t xml:space="preserve"> </w:t>
                  </w:r>
                  <w:r w:rsidRPr="00A1056F">
                    <w:rPr>
                      <w:rFonts w:ascii="Verdana" w:hAnsi="Verdana"/>
                      <w:sz w:val="16"/>
                      <w:szCs w:val="16"/>
                    </w:rPr>
                    <w:t>every</w:t>
                  </w:r>
                  <w:r w:rsidRPr="00F33426">
                    <w:rPr>
                      <w:rFonts w:ascii="Verdana" w:hAnsi="Verdana"/>
                      <w:sz w:val="16"/>
                      <w:szCs w:val="16"/>
                    </w:rPr>
                    <w:t xml:space="preserve"> two years </w:t>
                  </w:r>
                  <w:r>
                    <w:rPr>
                      <w:rFonts w:ascii="Verdana" w:hAnsi="Verdana"/>
                      <w:sz w:val="16"/>
                      <w:szCs w:val="16"/>
                    </w:rPr>
                    <w:t>and when a “significant change” takes place</w:t>
                  </w:r>
                </w:p>
              </w:txbxContent>
            </v:textbox>
          </v:shape>
        </w:pict>
      </w:r>
    </w:p>
    <w:p w:rsidR="003A0226" w:rsidRPr="00DA2290" w:rsidRDefault="003A0226" w:rsidP="003A0226">
      <w:pPr>
        <w:autoSpaceDE w:val="0"/>
        <w:autoSpaceDN w:val="0"/>
        <w:adjustRightInd w:val="0"/>
        <w:spacing w:before="120" w:line="276" w:lineRule="auto"/>
        <w:ind w:left="567"/>
        <w:jc w:val="both"/>
        <w:rPr>
          <w:rFonts w:ascii="Verdana" w:hAnsi="Verdana"/>
          <w:sz w:val="22"/>
          <w:szCs w:val="22"/>
        </w:rPr>
      </w:pPr>
    </w:p>
    <w:p w:rsidR="003A0226" w:rsidRPr="00DA2290" w:rsidRDefault="003A0226" w:rsidP="003A0226">
      <w:pPr>
        <w:autoSpaceDE w:val="0"/>
        <w:autoSpaceDN w:val="0"/>
        <w:adjustRightInd w:val="0"/>
        <w:spacing w:before="120" w:line="276" w:lineRule="auto"/>
        <w:ind w:left="567"/>
        <w:jc w:val="both"/>
        <w:rPr>
          <w:rFonts w:ascii="Verdana" w:hAnsi="Verdana"/>
          <w:sz w:val="22"/>
          <w:szCs w:val="22"/>
        </w:rPr>
      </w:pPr>
    </w:p>
    <w:p w:rsidR="006C3B31" w:rsidRPr="00DA2290" w:rsidRDefault="006C3B31" w:rsidP="006C3B31">
      <w:pPr>
        <w:tabs>
          <w:tab w:val="num" w:pos="1980"/>
        </w:tabs>
        <w:autoSpaceDE w:val="0"/>
        <w:autoSpaceDN w:val="0"/>
        <w:adjustRightInd w:val="0"/>
        <w:spacing w:before="120"/>
        <w:jc w:val="both"/>
        <w:rPr>
          <w:rFonts w:ascii="Verdana" w:hAnsi="Verdana"/>
          <w:b/>
          <w:i/>
          <w:sz w:val="22"/>
          <w:u w:val="single"/>
        </w:rPr>
      </w:pPr>
      <w:r w:rsidRPr="00DA2290">
        <w:rPr>
          <w:rFonts w:ascii="Verdana" w:hAnsi="Verdana"/>
          <w:b/>
          <w:i/>
          <w:sz w:val="22"/>
          <w:u w:val="single"/>
        </w:rPr>
        <w:t xml:space="preserve">Analysis of impacts of policy options </w:t>
      </w:r>
      <w:r w:rsidR="00F33426" w:rsidRPr="00DA2290">
        <w:rPr>
          <w:rFonts w:ascii="Verdana" w:hAnsi="Verdana"/>
          <w:b/>
          <w:i/>
          <w:sz w:val="22"/>
          <w:u w:val="single"/>
        </w:rPr>
        <w:t xml:space="preserve">under </w:t>
      </w:r>
      <w:r w:rsidR="007E254D" w:rsidRPr="00DA2290">
        <w:rPr>
          <w:rFonts w:ascii="Verdana" w:hAnsi="Verdana"/>
          <w:b/>
          <w:i/>
          <w:sz w:val="22"/>
          <w:u w:val="single"/>
        </w:rPr>
        <w:t>S</w:t>
      </w:r>
      <w:r w:rsidR="00F33426" w:rsidRPr="00DA2290">
        <w:rPr>
          <w:rFonts w:ascii="Verdana" w:hAnsi="Verdana"/>
          <w:b/>
          <w:i/>
          <w:sz w:val="22"/>
          <w:u w:val="single"/>
        </w:rPr>
        <w:t xml:space="preserve">et 1 </w:t>
      </w:r>
      <w:r w:rsidRPr="00DA2290">
        <w:rPr>
          <w:rFonts w:ascii="Verdana" w:hAnsi="Verdana"/>
          <w:b/>
          <w:i/>
          <w:sz w:val="22"/>
          <w:u w:val="single"/>
        </w:rPr>
        <w:t xml:space="preserve"> </w:t>
      </w:r>
    </w:p>
    <w:p w:rsidR="00532D93" w:rsidRPr="00DA2290" w:rsidRDefault="006C3B31" w:rsidP="00532D93">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The cost and administrative burden for both options is expected to fall mostly on competent authorities (CAs) who will be responsible for reporting and providing regular updates. There will be a cost for EIOPA in relation to receiving reports from competent authorities, keeping information up-to-date and placing </w:t>
      </w:r>
      <w:r w:rsidR="00874FF3" w:rsidRPr="00DA2290">
        <w:rPr>
          <w:rFonts w:ascii="Verdana" w:hAnsi="Verdana"/>
          <w:sz w:val="22"/>
          <w:szCs w:val="22"/>
        </w:rPr>
        <w:t xml:space="preserve">the </w:t>
      </w:r>
      <w:r w:rsidRPr="00DA2290">
        <w:rPr>
          <w:rFonts w:ascii="Verdana" w:hAnsi="Verdana"/>
          <w:sz w:val="22"/>
          <w:szCs w:val="22"/>
        </w:rPr>
        <w:t>information on EIOPA</w:t>
      </w:r>
      <w:r w:rsidR="00CE0D7B" w:rsidRPr="00DA2290">
        <w:rPr>
          <w:rFonts w:ascii="Verdana" w:hAnsi="Verdana"/>
          <w:sz w:val="22"/>
          <w:szCs w:val="22"/>
        </w:rPr>
        <w:t>’s</w:t>
      </w:r>
      <w:r w:rsidRPr="00DA2290">
        <w:rPr>
          <w:rFonts w:ascii="Verdana" w:hAnsi="Verdana"/>
          <w:sz w:val="22"/>
          <w:szCs w:val="22"/>
        </w:rPr>
        <w:t xml:space="preserve"> website</w:t>
      </w:r>
      <w:r w:rsidR="00532D93" w:rsidRPr="00DA2290">
        <w:rPr>
          <w:rFonts w:ascii="Verdana" w:hAnsi="Verdana"/>
          <w:sz w:val="22"/>
          <w:szCs w:val="22"/>
        </w:rPr>
        <w:t xml:space="preserve">; this cost may depend on the volume and quality of the information received.  </w:t>
      </w:r>
    </w:p>
    <w:p w:rsidR="003A079D" w:rsidRPr="00DA2290" w:rsidRDefault="006C3B31" w:rsidP="00E0546F">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CAs may also encounter operational costs as an employee of a competent authority would have to ensure that the reports meet </w:t>
      </w:r>
      <w:r w:rsidR="00CE0D7B" w:rsidRPr="00DA2290">
        <w:rPr>
          <w:rFonts w:ascii="Verdana" w:hAnsi="Verdana"/>
          <w:sz w:val="22"/>
          <w:szCs w:val="22"/>
        </w:rPr>
        <w:t xml:space="preserve">the </w:t>
      </w:r>
      <w:r w:rsidRPr="00DA2290">
        <w:rPr>
          <w:rFonts w:ascii="Verdana" w:hAnsi="Verdana"/>
          <w:sz w:val="22"/>
          <w:szCs w:val="22"/>
        </w:rPr>
        <w:t xml:space="preserve">deadlines set in the ITS. </w:t>
      </w:r>
      <w:r w:rsidR="00CE0D7B" w:rsidRPr="00DA2290">
        <w:rPr>
          <w:rFonts w:ascii="Verdana" w:hAnsi="Verdana"/>
          <w:sz w:val="22"/>
          <w:szCs w:val="22"/>
        </w:rPr>
        <w:t>The o</w:t>
      </w:r>
      <w:r w:rsidRPr="00DA2290">
        <w:rPr>
          <w:rFonts w:ascii="Verdana" w:hAnsi="Verdana"/>
          <w:sz w:val="22"/>
          <w:szCs w:val="22"/>
        </w:rPr>
        <w:t>verall costs for the competent authorities are estimated to be low.</w:t>
      </w:r>
      <w:r w:rsidR="004205EC" w:rsidRPr="00DA2290">
        <w:rPr>
          <w:rFonts w:ascii="Verdana" w:hAnsi="Verdana"/>
          <w:sz w:val="22"/>
          <w:szCs w:val="22"/>
        </w:rPr>
        <w:t xml:space="preserve"> </w:t>
      </w:r>
      <w:r w:rsidR="004C0612" w:rsidRPr="00DA2290">
        <w:rPr>
          <w:rFonts w:ascii="Verdana" w:hAnsi="Verdana"/>
          <w:sz w:val="22"/>
          <w:szCs w:val="22"/>
        </w:rPr>
        <w:t>T</w:t>
      </w:r>
      <w:r w:rsidR="004205EC" w:rsidRPr="00DA2290">
        <w:rPr>
          <w:rFonts w:ascii="Verdana" w:hAnsi="Verdana"/>
          <w:sz w:val="22"/>
          <w:szCs w:val="22"/>
        </w:rPr>
        <w:t xml:space="preserve">he competent authorities </w:t>
      </w:r>
      <w:r w:rsidR="000372EE" w:rsidRPr="00DA2290">
        <w:rPr>
          <w:rFonts w:ascii="Verdana" w:hAnsi="Verdana"/>
          <w:sz w:val="22"/>
          <w:szCs w:val="22"/>
        </w:rPr>
        <w:t>who</w:t>
      </w:r>
      <w:r w:rsidR="004205EC" w:rsidRPr="00DA2290">
        <w:rPr>
          <w:rFonts w:ascii="Verdana" w:hAnsi="Verdana"/>
          <w:sz w:val="22"/>
          <w:szCs w:val="22"/>
        </w:rPr>
        <w:t xml:space="preserve"> participated in a test exercise </w:t>
      </w:r>
      <w:r w:rsidR="00541BC4" w:rsidRPr="00DA2290">
        <w:rPr>
          <w:rFonts w:ascii="Verdana" w:hAnsi="Verdana"/>
          <w:sz w:val="22"/>
          <w:szCs w:val="22"/>
        </w:rPr>
        <w:t xml:space="preserve">organised by EIOPA </w:t>
      </w:r>
      <w:r w:rsidR="004C0612" w:rsidRPr="00DA2290">
        <w:rPr>
          <w:rFonts w:ascii="Verdana" w:hAnsi="Verdana"/>
          <w:sz w:val="22"/>
          <w:szCs w:val="22"/>
        </w:rPr>
        <w:t xml:space="preserve">reported that </w:t>
      </w:r>
      <w:r w:rsidR="009715E1" w:rsidRPr="00DA2290">
        <w:rPr>
          <w:rFonts w:ascii="Verdana" w:hAnsi="Verdana"/>
          <w:sz w:val="22"/>
          <w:szCs w:val="22"/>
        </w:rPr>
        <w:t xml:space="preserve">it took them </w:t>
      </w:r>
      <w:r w:rsidR="004205EC" w:rsidRPr="00DA2290">
        <w:rPr>
          <w:rFonts w:ascii="Verdana" w:hAnsi="Verdana"/>
          <w:sz w:val="22"/>
          <w:szCs w:val="22"/>
        </w:rPr>
        <w:t xml:space="preserve">on average 3-4 working days </w:t>
      </w:r>
      <w:r w:rsidR="009715E1" w:rsidRPr="00DA2290">
        <w:rPr>
          <w:rFonts w:ascii="Verdana" w:hAnsi="Verdana"/>
          <w:sz w:val="22"/>
          <w:szCs w:val="22"/>
        </w:rPr>
        <w:t>to complete the template by 2 employees</w:t>
      </w:r>
      <w:r w:rsidR="009618AC" w:rsidRPr="00DA2290">
        <w:rPr>
          <w:rFonts w:ascii="Verdana" w:hAnsi="Verdana"/>
          <w:sz w:val="22"/>
          <w:szCs w:val="22"/>
        </w:rPr>
        <w:t>. This</w:t>
      </w:r>
      <w:r w:rsidR="000372EE" w:rsidRPr="00DA2290">
        <w:rPr>
          <w:rFonts w:ascii="Verdana" w:hAnsi="Verdana"/>
          <w:sz w:val="22"/>
          <w:szCs w:val="22"/>
        </w:rPr>
        <w:t xml:space="preserve"> depend</w:t>
      </w:r>
      <w:r w:rsidR="009618AC" w:rsidRPr="00DA2290">
        <w:rPr>
          <w:rFonts w:ascii="Verdana" w:hAnsi="Verdana"/>
          <w:sz w:val="22"/>
          <w:szCs w:val="22"/>
        </w:rPr>
        <w:t>s</w:t>
      </w:r>
      <w:r w:rsidR="000372EE" w:rsidRPr="00DA2290">
        <w:rPr>
          <w:rFonts w:ascii="Verdana" w:hAnsi="Verdana"/>
          <w:sz w:val="22"/>
          <w:szCs w:val="22"/>
        </w:rPr>
        <w:t xml:space="preserve"> </w:t>
      </w:r>
      <w:r w:rsidR="00921CC4" w:rsidRPr="00DA2290">
        <w:rPr>
          <w:rFonts w:ascii="Verdana" w:hAnsi="Verdana"/>
          <w:sz w:val="22"/>
          <w:szCs w:val="22"/>
        </w:rPr>
        <w:t xml:space="preserve">mostly </w:t>
      </w:r>
      <w:r w:rsidR="000372EE" w:rsidRPr="00DA2290">
        <w:rPr>
          <w:rFonts w:ascii="Verdana" w:hAnsi="Verdana"/>
          <w:sz w:val="22"/>
          <w:szCs w:val="22"/>
        </w:rPr>
        <w:t>on whether concordance</w:t>
      </w:r>
      <w:r w:rsidR="0036451C" w:rsidRPr="00DA2290">
        <w:rPr>
          <w:rFonts w:ascii="Verdana" w:hAnsi="Verdana"/>
          <w:sz w:val="22"/>
          <w:szCs w:val="22"/>
        </w:rPr>
        <w:t>/transposition</w:t>
      </w:r>
      <w:r w:rsidR="000372EE" w:rsidRPr="00DA2290">
        <w:rPr>
          <w:rFonts w:ascii="Verdana" w:hAnsi="Verdana"/>
          <w:sz w:val="22"/>
          <w:szCs w:val="22"/>
        </w:rPr>
        <w:t xml:space="preserve"> tables already exist</w:t>
      </w:r>
      <w:r w:rsidR="004C0612" w:rsidRPr="00DA2290">
        <w:rPr>
          <w:rFonts w:ascii="Verdana" w:hAnsi="Verdana"/>
          <w:sz w:val="22"/>
          <w:szCs w:val="22"/>
        </w:rPr>
        <w:t>, and their level of detail</w:t>
      </w:r>
      <w:r w:rsidR="009715E1" w:rsidRPr="00DA2290">
        <w:rPr>
          <w:rFonts w:ascii="Verdana" w:hAnsi="Verdana"/>
          <w:sz w:val="22"/>
          <w:szCs w:val="22"/>
        </w:rPr>
        <w:t xml:space="preserve">.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Some competent authorities levy fees or impose contributions on IORPs. Therefore, </w:t>
      </w:r>
      <w:r w:rsidR="00440173" w:rsidRPr="00DA2290">
        <w:rPr>
          <w:rFonts w:ascii="Verdana" w:hAnsi="Verdana"/>
          <w:sz w:val="22"/>
          <w:szCs w:val="22"/>
        </w:rPr>
        <w:t xml:space="preserve">any </w:t>
      </w:r>
      <w:r w:rsidRPr="00DA2290">
        <w:rPr>
          <w:rFonts w:ascii="Verdana" w:hAnsi="Verdana"/>
          <w:sz w:val="22"/>
          <w:szCs w:val="22"/>
        </w:rPr>
        <w:t>increased costs arising from an increased administrative burden could be passed on to IORPs wh</w:t>
      </w:r>
      <w:r w:rsidR="00C9594F" w:rsidRPr="00DA2290">
        <w:rPr>
          <w:rFonts w:ascii="Verdana" w:hAnsi="Verdana"/>
          <w:sz w:val="22"/>
          <w:szCs w:val="22"/>
        </w:rPr>
        <w:t>ich</w:t>
      </w:r>
      <w:r w:rsidRPr="00DA2290">
        <w:rPr>
          <w:rFonts w:ascii="Verdana" w:hAnsi="Verdana"/>
          <w:sz w:val="22"/>
          <w:szCs w:val="22"/>
        </w:rPr>
        <w:t>, in turn, may pass them on to members and beneficiaries. However, based on the experience of CAs</w:t>
      </w:r>
      <w:r w:rsidR="00440173" w:rsidRPr="00DA2290">
        <w:rPr>
          <w:rFonts w:ascii="Verdana" w:hAnsi="Verdana"/>
          <w:sz w:val="22"/>
          <w:szCs w:val="22"/>
        </w:rPr>
        <w:t xml:space="preserve"> during the test exercise</w:t>
      </w:r>
      <w:r w:rsidRPr="00DA2290">
        <w:rPr>
          <w:rFonts w:ascii="Verdana" w:hAnsi="Verdana"/>
          <w:sz w:val="22"/>
          <w:szCs w:val="22"/>
        </w:rPr>
        <w:t xml:space="preserve"> and that the overall costs for CAs are estimated to be low, the cost impact on stakeholder</w:t>
      </w:r>
      <w:r w:rsidR="00986944" w:rsidRPr="00DA2290">
        <w:rPr>
          <w:rFonts w:ascii="Verdana" w:hAnsi="Verdana"/>
          <w:sz w:val="22"/>
          <w:szCs w:val="22"/>
        </w:rPr>
        <w:t>s</w:t>
      </w:r>
      <w:r w:rsidRPr="00DA2290">
        <w:rPr>
          <w:rFonts w:ascii="Verdana" w:hAnsi="Verdana"/>
          <w:sz w:val="22"/>
          <w:szCs w:val="22"/>
        </w:rPr>
        <w:t xml:space="preserve"> is not likely to be extensive.</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The </w:t>
      </w:r>
      <w:r w:rsidR="00986944" w:rsidRPr="00DA2290">
        <w:rPr>
          <w:rFonts w:ascii="Verdana" w:hAnsi="Verdana"/>
          <w:sz w:val="22"/>
          <w:szCs w:val="22"/>
        </w:rPr>
        <w:t xml:space="preserve">rules </w:t>
      </w:r>
      <w:r w:rsidRPr="00DA2290">
        <w:rPr>
          <w:rFonts w:ascii="Verdana" w:hAnsi="Verdana"/>
          <w:sz w:val="22"/>
          <w:szCs w:val="22"/>
        </w:rPr>
        <w:t xml:space="preserve">relating to occupational pensions </w:t>
      </w:r>
      <w:r w:rsidR="00986944" w:rsidRPr="00DA2290">
        <w:rPr>
          <w:rFonts w:ascii="Verdana" w:hAnsi="Verdana"/>
          <w:sz w:val="22"/>
          <w:szCs w:val="22"/>
        </w:rPr>
        <w:t xml:space="preserve">are </w:t>
      </w:r>
      <w:r w:rsidRPr="00DA2290">
        <w:rPr>
          <w:rFonts w:ascii="Verdana" w:hAnsi="Verdana"/>
          <w:sz w:val="22"/>
          <w:szCs w:val="22"/>
        </w:rPr>
        <w:t>already available on various national websites (</w:t>
      </w:r>
      <w:r w:rsidRPr="00DA2290">
        <w:rPr>
          <w:rFonts w:ascii="Verdana" w:hAnsi="Verdana" w:cs="Arial"/>
          <w:sz w:val="22"/>
          <w:szCs w:val="22"/>
        </w:rPr>
        <w:t>official journals of Member States and/or competent authorities’ websites</w:t>
      </w:r>
      <w:r w:rsidRPr="00DA2290">
        <w:rPr>
          <w:rFonts w:ascii="Verdana" w:hAnsi="Verdana"/>
          <w:sz w:val="22"/>
          <w:szCs w:val="22"/>
        </w:rPr>
        <w:t xml:space="preserve">). Reporting parts of </w:t>
      </w:r>
      <w:r w:rsidR="00B61655" w:rsidRPr="00DA2290">
        <w:rPr>
          <w:rFonts w:ascii="Verdana" w:hAnsi="Verdana"/>
          <w:sz w:val="22"/>
          <w:szCs w:val="22"/>
        </w:rPr>
        <w:t>these</w:t>
      </w:r>
      <w:r w:rsidRPr="00DA2290">
        <w:rPr>
          <w:rFonts w:ascii="Verdana" w:hAnsi="Verdana"/>
          <w:sz w:val="22"/>
          <w:szCs w:val="22"/>
        </w:rPr>
        <w:t xml:space="preserve"> </w:t>
      </w:r>
      <w:r w:rsidR="00F42CCD" w:rsidRPr="00DA2290">
        <w:rPr>
          <w:rFonts w:ascii="Verdana" w:hAnsi="Verdana"/>
          <w:sz w:val="22"/>
          <w:szCs w:val="22"/>
        </w:rPr>
        <w:t xml:space="preserve">rules </w:t>
      </w:r>
      <w:r w:rsidRPr="00DA2290">
        <w:rPr>
          <w:rFonts w:ascii="Verdana" w:hAnsi="Verdana"/>
          <w:sz w:val="22"/>
          <w:szCs w:val="22"/>
        </w:rPr>
        <w:t xml:space="preserve">(that relates to prudential matters) to EIOPA provides </w:t>
      </w:r>
      <w:r w:rsidR="00986944" w:rsidRPr="00DA2290">
        <w:rPr>
          <w:rFonts w:ascii="Verdana" w:hAnsi="Verdana"/>
          <w:sz w:val="22"/>
          <w:szCs w:val="22"/>
        </w:rPr>
        <w:t xml:space="preserve">the </w:t>
      </w:r>
      <w:r w:rsidRPr="00DA2290">
        <w:rPr>
          <w:rFonts w:ascii="Verdana" w:hAnsi="Verdana"/>
          <w:sz w:val="22"/>
          <w:szCs w:val="22"/>
        </w:rPr>
        <w:t xml:space="preserve">benefit of having all </w:t>
      </w:r>
      <w:r w:rsidR="00F42CCD" w:rsidRPr="00DA2290">
        <w:rPr>
          <w:rFonts w:ascii="Verdana" w:hAnsi="Verdana"/>
          <w:sz w:val="22"/>
          <w:szCs w:val="22"/>
        </w:rPr>
        <w:t>national</w:t>
      </w:r>
      <w:r w:rsidRPr="00DA2290">
        <w:rPr>
          <w:rFonts w:ascii="Verdana" w:hAnsi="Verdana"/>
          <w:sz w:val="22"/>
          <w:szCs w:val="22"/>
        </w:rPr>
        <w:t xml:space="preserve"> </w:t>
      </w:r>
      <w:r w:rsidR="00F42CCD" w:rsidRPr="00DA2290">
        <w:rPr>
          <w:rFonts w:ascii="Verdana" w:hAnsi="Verdana"/>
          <w:sz w:val="22"/>
          <w:szCs w:val="22"/>
        </w:rPr>
        <w:t xml:space="preserve">provisions of prudential nature </w:t>
      </w:r>
      <w:r w:rsidRPr="00DA2290">
        <w:rPr>
          <w:rFonts w:ascii="Verdana" w:hAnsi="Verdana"/>
          <w:sz w:val="22"/>
          <w:szCs w:val="22"/>
        </w:rPr>
        <w:t>in one place (EIOPA website). The uniform presentation of national</w:t>
      </w:r>
      <w:r w:rsidR="0036451C" w:rsidRPr="00DA2290">
        <w:rPr>
          <w:rFonts w:ascii="Verdana" w:hAnsi="Verdana"/>
          <w:sz w:val="22"/>
          <w:szCs w:val="22"/>
        </w:rPr>
        <w:t xml:space="preserve"> provisions of</w:t>
      </w:r>
      <w:r w:rsidRPr="00DA2290">
        <w:rPr>
          <w:rFonts w:ascii="Verdana" w:hAnsi="Verdana"/>
          <w:sz w:val="22"/>
          <w:szCs w:val="22"/>
        </w:rPr>
        <w:t xml:space="preserve"> prudential </w:t>
      </w:r>
      <w:r w:rsidR="0036451C" w:rsidRPr="00DA2290">
        <w:rPr>
          <w:rFonts w:ascii="Verdana" w:hAnsi="Verdana"/>
          <w:sz w:val="22"/>
          <w:szCs w:val="22"/>
        </w:rPr>
        <w:t xml:space="preserve">nature </w:t>
      </w:r>
      <w:r w:rsidRPr="00DA2290">
        <w:rPr>
          <w:rFonts w:ascii="Verdana" w:hAnsi="Verdana"/>
          <w:sz w:val="22"/>
          <w:szCs w:val="22"/>
        </w:rPr>
        <w:t xml:space="preserve">will improve the transparency and comparability of prudential frameworks which may lead to </w:t>
      </w:r>
      <w:r w:rsidR="00986944" w:rsidRPr="00DA2290">
        <w:rPr>
          <w:rFonts w:ascii="Verdana" w:hAnsi="Verdana"/>
          <w:sz w:val="22"/>
          <w:szCs w:val="22"/>
        </w:rPr>
        <w:t xml:space="preserve">a </w:t>
      </w:r>
      <w:r w:rsidRPr="00DA2290">
        <w:rPr>
          <w:rFonts w:ascii="Verdana" w:hAnsi="Verdana"/>
          <w:sz w:val="22"/>
          <w:szCs w:val="22"/>
        </w:rPr>
        <w:t>decrease of advisory and legal costs for the industry and consequently translate into lower fees charged to members and beneficiaries or increased benefits.</w:t>
      </w:r>
      <w:r w:rsidR="00E0546F" w:rsidRPr="00DA2290">
        <w:rPr>
          <w:rFonts w:ascii="Verdana" w:hAnsi="Verdana"/>
          <w:sz w:val="22"/>
          <w:szCs w:val="22"/>
        </w:rPr>
        <w:t xml:space="preserve"> This may ultimately facilitate the consideration of IORPs cross-border activity and mitigate the problems as identified in point 2. </w:t>
      </w:r>
    </w:p>
    <w:p w:rsidR="00DE487E" w:rsidRPr="00DA2290" w:rsidRDefault="00DE487E" w:rsidP="00DE487E">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bCs/>
          <w:sz w:val="22"/>
          <w:szCs w:val="22"/>
          <w:lang w:eastAsia="de-DE"/>
        </w:rPr>
        <w:t>There</w:t>
      </w:r>
      <w:r w:rsidRPr="00DA2290">
        <w:rPr>
          <w:rFonts w:ascii="Verdana" w:hAnsi="Verdana"/>
          <w:sz w:val="22"/>
          <w:szCs w:val="22"/>
        </w:rPr>
        <w:t xml:space="preserve"> is no definition of “provisions of prudential nature” in the IORP Directive. This notion would therefore be subject to varying interpretations amongst Member States. Arguably “prudential rules” may overlap with elements of national law such as company law, insolvency law, etc. Finding a borderline between prudential rules and other areas of law may be considered as going beyond the remit of EU implementing acts.</w:t>
      </w:r>
      <w:r w:rsidRPr="00DA2290">
        <w:rPr>
          <w:vertAlign w:val="superscript"/>
        </w:rPr>
        <w:footnoteReference w:id="8"/>
      </w:r>
      <w:r w:rsidRPr="00DA2290">
        <w:rPr>
          <w:rFonts w:ascii="Verdana" w:hAnsi="Verdana"/>
          <w:sz w:val="22"/>
          <w:szCs w:val="22"/>
        </w:rPr>
        <w:t xml:space="preserve"> </w:t>
      </w:r>
      <w:r w:rsidRPr="00DA2290">
        <w:rPr>
          <w:rFonts w:ascii="Verdana" w:hAnsi="Verdana"/>
          <w:sz w:val="22"/>
          <w:szCs w:val="22"/>
          <w:lang w:eastAsia="en-US"/>
        </w:rPr>
        <w:t xml:space="preserve">Therefore, due to </w:t>
      </w:r>
      <w:r w:rsidRPr="00DA2290">
        <w:rPr>
          <w:rFonts w:ascii="Verdana" w:hAnsi="Verdana"/>
          <w:sz w:val="22"/>
          <w:szCs w:val="22"/>
        </w:rPr>
        <w:t>the</w:t>
      </w:r>
      <w:r w:rsidRPr="00DA2290">
        <w:rPr>
          <w:rFonts w:ascii="Verdana" w:hAnsi="Verdana"/>
          <w:sz w:val="22"/>
          <w:szCs w:val="22"/>
          <w:lang w:eastAsia="en-US"/>
        </w:rPr>
        <w:t xml:space="preserve"> differences in </w:t>
      </w:r>
      <w:r w:rsidRPr="00DA2290">
        <w:rPr>
          <w:rFonts w:ascii="Verdana" w:hAnsi="Verdana"/>
          <w:sz w:val="22"/>
          <w:szCs w:val="22"/>
        </w:rPr>
        <w:t>terminology</w:t>
      </w:r>
      <w:r w:rsidRPr="00DA2290">
        <w:rPr>
          <w:rFonts w:ascii="Verdana" w:hAnsi="Verdana"/>
          <w:sz w:val="22"/>
          <w:szCs w:val="22"/>
          <w:lang w:eastAsia="en-US"/>
        </w:rPr>
        <w:t xml:space="preserve"> across Member States (as recognised also by stakeholders) it was not practical to establish taxonomy of national provisions of prudential nature. </w:t>
      </w:r>
    </w:p>
    <w:p w:rsidR="006C3B31" w:rsidRPr="00DA2290" w:rsidRDefault="006C3B31" w:rsidP="006C3B31">
      <w:pPr>
        <w:tabs>
          <w:tab w:val="num" w:pos="1980"/>
        </w:tabs>
        <w:autoSpaceDE w:val="0"/>
        <w:autoSpaceDN w:val="0"/>
        <w:adjustRightInd w:val="0"/>
        <w:spacing w:before="120"/>
        <w:jc w:val="both"/>
        <w:rPr>
          <w:rFonts w:ascii="Verdana" w:hAnsi="Verdana"/>
          <w:b/>
          <w:i/>
          <w:sz w:val="22"/>
          <w:u w:val="single"/>
        </w:rPr>
      </w:pPr>
      <w:r w:rsidRPr="00DA2290">
        <w:rPr>
          <w:rFonts w:ascii="Verdana" w:hAnsi="Verdana"/>
          <w:b/>
          <w:i/>
          <w:sz w:val="22"/>
          <w:u w:val="single"/>
        </w:rPr>
        <w:t xml:space="preserve">Comparison of policy options </w:t>
      </w:r>
      <w:r w:rsidR="00A1056F" w:rsidRPr="00DA2290">
        <w:rPr>
          <w:rFonts w:ascii="Verdana" w:hAnsi="Verdana"/>
          <w:b/>
          <w:i/>
          <w:sz w:val="22"/>
          <w:u w:val="single"/>
        </w:rPr>
        <w:t xml:space="preserve">under </w:t>
      </w:r>
      <w:r w:rsidR="007E254D" w:rsidRPr="00DA2290">
        <w:rPr>
          <w:rFonts w:ascii="Verdana" w:hAnsi="Verdana"/>
          <w:b/>
          <w:i/>
          <w:sz w:val="22"/>
          <w:u w:val="single"/>
        </w:rPr>
        <w:t>S</w:t>
      </w:r>
      <w:r w:rsidR="00A1056F" w:rsidRPr="00DA2290">
        <w:rPr>
          <w:rFonts w:ascii="Verdana" w:hAnsi="Verdana"/>
          <w:b/>
          <w:i/>
          <w:sz w:val="22"/>
          <w:u w:val="single"/>
        </w:rPr>
        <w:t>et 1</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b/>
          <w:sz w:val="22"/>
          <w:szCs w:val="22"/>
        </w:rPr>
        <w:t xml:space="preserve">Option </w:t>
      </w:r>
      <w:r w:rsidR="001242A9" w:rsidRPr="00DA2290">
        <w:rPr>
          <w:rFonts w:ascii="Verdana" w:hAnsi="Verdana"/>
          <w:b/>
          <w:sz w:val="22"/>
          <w:szCs w:val="22"/>
        </w:rPr>
        <w:t>1.</w:t>
      </w:r>
      <w:r w:rsidRPr="00DA2290">
        <w:rPr>
          <w:rFonts w:ascii="Verdana" w:hAnsi="Verdana"/>
          <w:b/>
          <w:sz w:val="22"/>
          <w:szCs w:val="22"/>
        </w:rPr>
        <w:t>1</w:t>
      </w:r>
      <w:r w:rsidRPr="00DA2290">
        <w:rPr>
          <w:rFonts w:ascii="Verdana" w:hAnsi="Verdana"/>
          <w:sz w:val="22"/>
          <w:szCs w:val="22"/>
        </w:rPr>
        <w:t xml:space="preserve"> is less convincing for a number of reasons: </w:t>
      </w:r>
    </w:p>
    <w:p w:rsidR="0047537C" w:rsidRPr="00DA2290" w:rsidRDefault="0047537C" w:rsidP="0047537C">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 xml:space="preserve">Does not have the benefit of providing a direct link to the Articles of the IORP Directive. </w:t>
      </w:r>
    </w:p>
    <w:p w:rsidR="0047537C" w:rsidRPr="00DA2290" w:rsidRDefault="0047537C" w:rsidP="0047537C">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 xml:space="preserve">Does not capture in a structured way the national provisions of prudential nature, which </w:t>
      </w:r>
      <w:r w:rsidR="00B61655" w:rsidRPr="00DA2290">
        <w:rPr>
          <w:rFonts w:ascii="Verdana" w:hAnsi="Verdana"/>
          <w:bCs/>
          <w:sz w:val="22"/>
          <w:szCs w:val="22"/>
          <w:lang w:eastAsia="de-DE"/>
        </w:rPr>
        <w:t>would</w:t>
      </w:r>
      <w:r w:rsidR="00443604" w:rsidRPr="00DA2290">
        <w:rPr>
          <w:rFonts w:ascii="Verdana" w:hAnsi="Verdana"/>
          <w:bCs/>
          <w:sz w:val="22"/>
          <w:szCs w:val="22"/>
          <w:lang w:eastAsia="de-DE"/>
        </w:rPr>
        <w:t xml:space="preserve"> otherwise </w:t>
      </w:r>
      <w:r w:rsidR="00B61655" w:rsidRPr="00DA2290">
        <w:rPr>
          <w:rFonts w:ascii="Verdana" w:hAnsi="Verdana"/>
          <w:bCs/>
          <w:sz w:val="22"/>
          <w:szCs w:val="22"/>
          <w:lang w:eastAsia="de-DE"/>
        </w:rPr>
        <w:t>be</w:t>
      </w:r>
      <w:r w:rsidRPr="00DA2290">
        <w:rPr>
          <w:rFonts w:ascii="Verdana" w:hAnsi="Verdana"/>
          <w:bCs/>
          <w:sz w:val="22"/>
          <w:szCs w:val="22"/>
          <w:lang w:eastAsia="de-DE"/>
        </w:rPr>
        <w:t xml:space="preserve"> useful for the purposes of presenting the information in a consistent and transparent way on EIOPA website.</w:t>
      </w:r>
    </w:p>
    <w:p w:rsidR="00A5504F" w:rsidRPr="00DA2290" w:rsidRDefault="00A5504F" w:rsidP="0047537C">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Expected cost in the long term would be higher</w:t>
      </w:r>
      <w:r w:rsidR="001D47A6" w:rsidRPr="00DA2290">
        <w:rPr>
          <w:rFonts w:ascii="Verdana" w:hAnsi="Verdana"/>
          <w:bCs/>
          <w:sz w:val="22"/>
          <w:szCs w:val="22"/>
          <w:lang w:eastAsia="de-DE"/>
        </w:rPr>
        <w:t xml:space="preserve"> as it would be more difficult to make updates under this option.  </w:t>
      </w:r>
    </w:p>
    <w:p w:rsidR="00A5504F" w:rsidRPr="00DA2290" w:rsidRDefault="00A5504F" w:rsidP="0047537C">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Lower level of comparability of the reported information</w:t>
      </w:r>
      <w:r w:rsidR="00443604" w:rsidRPr="00DA2290">
        <w:rPr>
          <w:rFonts w:ascii="Verdana" w:hAnsi="Verdana"/>
          <w:bCs/>
          <w:sz w:val="22"/>
          <w:szCs w:val="22"/>
          <w:lang w:eastAsia="de-DE"/>
        </w:rPr>
        <w:t xml:space="preserve"> between Member States</w:t>
      </w:r>
      <w:r w:rsidRPr="00DA2290">
        <w:rPr>
          <w:rFonts w:ascii="Verdana" w:hAnsi="Verdana"/>
          <w:bCs/>
          <w:sz w:val="22"/>
          <w:szCs w:val="22"/>
          <w:lang w:eastAsia="de-DE"/>
        </w:rPr>
        <w:t>.</w:t>
      </w:r>
    </w:p>
    <w:p w:rsidR="006C3B31" w:rsidRPr="00DA2290" w:rsidRDefault="00C30B8F"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b/>
          <w:sz w:val="22"/>
          <w:szCs w:val="22"/>
        </w:rPr>
        <w:t xml:space="preserve">Option </w:t>
      </w:r>
      <w:r w:rsidR="001242A9" w:rsidRPr="00DA2290">
        <w:rPr>
          <w:rFonts w:ascii="Verdana" w:hAnsi="Verdana"/>
          <w:b/>
          <w:sz w:val="22"/>
          <w:szCs w:val="22"/>
        </w:rPr>
        <w:t>1.</w:t>
      </w:r>
      <w:r w:rsidR="006C3B31" w:rsidRPr="00DA2290">
        <w:rPr>
          <w:rFonts w:ascii="Verdana" w:hAnsi="Verdana"/>
          <w:b/>
          <w:sz w:val="22"/>
          <w:szCs w:val="22"/>
        </w:rPr>
        <w:t>2</w:t>
      </w:r>
      <w:r w:rsidR="008C6165" w:rsidRPr="00DA2290">
        <w:rPr>
          <w:rFonts w:ascii="Verdana" w:hAnsi="Verdana"/>
          <w:b/>
          <w:sz w:val="22"/>
          <w:szCs w:val="22"/>
        </w:rPr>
        <w:t xml:space="preserve"> </w:t>
      </w:r>
      <w:r w:rsidR="008C6165" w:rsidRPr="00DA2290">
        <w:rPr>
          <w:rFonts w:ascii="Verdana" w:hAnsi="Verdana"/>
          <w:sz w:val="22"/>
          <w:szCs w:val="22"/>
        </w:rPr>
        <w:t>is considered</w:t>
      </w:r>
      <w:r w:rsidR="008C6165" w:rsidRPr="00DA2290">
        <w:rPr>
          <w:rFonts w:ascii="Verdana" w:hAnsi="Verdana"/>
          <w:b/>
          <w:sz w:val="22"/>
          <w:szCs w:val="22"/>
        </w:rPr>
        <w:t xml:space="preserve"> </w:t>
      </w:r>
      <w:r w:rsidR="008C6165" w:rsidRPr="00DA2290">
        <w:rPr>
          <w:rFonts w:ascii="Verdana" w:hAnsi="Verdana"/>
          <w:sz w:val="22"/>
          <w:szCs w:val="22"/>
        </w:rPr>
        <w:t>to</w:t>
      </w:r>
      <w:r w:rsidR="006C3B31" w:rsidRPr="00DA2290">
        <w:rPr>
          <w:rFonts w:ascii="Verdana" w:hAnsi="Verdana"/>
          <w:sz w:val="22"/>
          <w:szCs w:val="22"/>
        </w:rPr>
        <w:t>:</w:t>
      </w:r>
    </w:p>
    <w:p w:rsidR="000F347E" w:rsidRPr="00DA2290" w:rsidRDefault="006C3B31" w:rsidP="0057462F">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sz w:val="22"/>
          <w:szCs w:val="22"/>
        </w:rPr>
        <w:t>Ha</w:t>
      </w:r>
      <w:r w:rsidR="008C6165" w:rsidRPr="00DA2290">
        <w:rPr>
          <w:rFonts w:ascii="Verdana" w:hAnsi="Verdana"/>
          <w:sz w:val="22"/>
          <w:szCs w:val="22"/>
        </w:rPr>
        <w:t>ve</w:t>
      </w:r>
      <w:r w:rsidRPr="00DA2290">
        <w:rPr>
          <w:rFonts w:ascii="Verdana" w:hAnsi="Verdana"/>
          <w:sz w:val="22"/>
          <w:szCs w:val="22"/>
        </w:rPr>
        <w:t xml:space="preserve"> </w:t>
      </w:r>
      <w:r w:rsidR="00AE76D2" w:rsidRPr="00DA2290">
        <w:rPr>
          <w:rFonts w:ascii="Verdana" w:hAnsi="Verdana"/>
          <w:sz w:val="22"/>
          <w:szCs w:val="22"/>
        </w:rPr>
        <w:t>the</w:t>
      </w:r>
      <w:r w:rsidRPr="00DA2290">
        <w:rPr>
          <w:rFonts w:ascii="Verdana" w:hAnsi="Verdana"/>
          <w:sz w:val="22"/>
          <w:szCs w:val="22"/>
        </w:rPr>
        <w:t xml:space="preserve"> </w:t>
      </w:r>
      <w:r w:rsidRPr="00DA2290">
        <w:rPr>
          <w:rFonts w:ascii="Verdana" w:hAnsi="Verdana"/>
          <w:bCs/>
          <w:sz w:val="22"/>
          <w:szCs w:val="22"/>
          <w:lang w:eastAsia="de-DE"/>
        </w:rPr>
        <w:t>benefit</w:t>
      </w:r>
      <w:r w:rsidRPr="00DA2290">
        <w:rPr>
          <w:rFonts w:ascii="Verdana" w:hAnsi="Verdana"/>
          <w:sz w:val="22"/>
          <w:szCs w:val="22"/>
        </w:rPr>
        <w:t xml:space="preserve"> of </w:t>
      </w:r>
      <w:r w:rsidR="00AB74ED" w:rsidRPr="00DA2290">
        <w:rPr>
          <w:rFonts w:ascii="Verdana" w:hAnsi="Verdana"/>
          <w:sz w:val="22"/>
          <w:szCs w:val="22"/>
        </w:rPr>
        <w:t xml:space="preserve">providing </w:t>
      </w:r>
      <w:r w:rsidRPr="00DA2290">
        <w:rPr>
          <w:rFonts w:ascii="Verdana" w:hAnsi="Verdana"/>
          <w:sz w:val="22"/>
          <w:szCs w:val="22"/>
        </w:rPr>
        <w:t xml:space="preserve">a direct link to the </w:t>
      </w:r>
      <w:r w:rsidR="00ED7450" w:rsidRPr="00DA2290">
        <w:rPr>
          <w:rFonts w:ascii="Verdana" w:hAnsi="Verdana"/>
          <w:sz w:val="22"/>
          <w:szCs w:val="22"/>
        </w:rPr>
        <w:t xml:space="preserve">Articles </w:t>
      </w:r>
      <w:r w:rsidRPr="00DA2290">
        <w:rPr>
          <w:rFonts w:ascii="Verdana" w:hAnsi="Verdana"/>
          <w:sz w:val="22"/>
          <w:szCs w:val="22"/>
        </w:rPr>
        <w:t xml:space="preserve">of the IORP Directive. </w:t>
      </w:r>
    </w:p>
    <w:p w:rsidR="00505AC6" w:rsidRPr="00DA2290" w:rsidRDefault="00505AC6" w:rsidP="0057462F">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bCs/>
          <w:sz w:val="22"/>
          <w:szCs w:val="22"/>
          <w:lang w:eastAsia="de-DE"/>
        </w:rPr>
        <w:t>Capture</w:t>
      </w:r>
      <w:r w:rsidRPr="00DA2290">
        <w:rPr>
          <w:rFonts w:ascii="Verdana" w:hAnsi="Verdana"/>
          <w:sz w:val="22"/>
          <w:szCs w:val="22"/>
        </w:rPr>
        <w:t xml:space="preserve"> in a structured way </w:t>
      </w:r>
      <w:r w:rsidR="00081879" w:rsidRPr="00DA2290">
        <w:rPr>
          <w:rFonts w:ascii="Verdana" w:hAnsi="Verdana"/>
          <w:sz w:val="22"/>
          <w:szCs w:val="22"/>
        </w:rPr>
        <w:t xml:space="preserve">the </w:t>
      </w:r>
      <w:r w:rsidRPr="00DA2290">
        <w:rPr>
          <w:rFonts w:ascii="Verdana" w:hAnsi="Verdana"/>
          <w:sz w:val="22"/>
          <w:szCs w:val="22"/>
        </w:rPr>
        <w:t>national provisions</w:t>
      </w:r>
      <w:r w:rsidR="003108BC" w:rsidRPr="00DA2290">
        <w:rPr>
          <w:rFonts w:ascii="Verdana" w:hAnsi="Verdana"/>
          <w:sz w:val="22"/>
          <w:szCs w:val="22"/>
        </w:rPr>
        <w:t xml:space="preserve"> of prudential nature</w:t>
      </w:r>
      <w:r w:rsidRPr="00DA2290">
        <w:rPr>
          <w:rFonts w:ascii="Verdana" w:hAnsi="Verdana"/>
          <w:sz w:val="22"/>
          <w:szCs w:val="22"/>
        </w:rPr>
        <w:t xml:space="preserve">, which is very useful for the purposes of presenting the information in a consistent </w:t>
      </w:r>
      <w:r w:rsidR="00A5504F" w:rsidRPr="00DA2290">
        <w:rPr>
          <w:rFonts w:ascii="Verdana" w:hAnsi="Verdana"/>
          <w:sz w:val="22"/>
          <w:szCs w:val="22"/>
        </w:rPr>
        <w:t xml:space="preserve">and transparent </w:t>
      </w:r>
      <w:r w:rsidRPr="00DA2290">
        <w:rPr>
          <w:rFonts w:ascii="Verdana" w:hAnsi="Verdana"/>
          <w:sz w:val="22"/>
          <w:szCs w:val="22"/>
        </w:rPr>
        <w:t>way on EIOPA website.</w:t>
      </w:r>
    </w:p>
    <w:p w:rsidR="00436F76" w:rsidRPr="00DA2290" w:rsidRDefault="008C6165" w:rsidP="00436F76">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sz w:val="22"/>
          <w:szCs w:val="22"/>
        </w:rPr>
        <w:t xml:space="preserve">Contribute to lower expected </w:t>
      </w:r>
      <w:r w:rsidR="00436F76" w:rsidRPr="00DA2290">
        <w:rPr>
          <w:rFonts w:ascii="Verdana" w:hAnsi="Verdana"/>
          <w:sz w:val="22"/>
          <w:szCs w:val="22"/>
        </w:rPr>
        <w:t xml:space="preserve">cost in the long term as it would be easier to make updates under this option. </w:t>
      </w:r>
    </w:p>
    <w:p w:rsidR="00A5504F" w:rsidRPr="00DA2290" w:rsidRDefault="008C6165" w:rsidP="0057462F">
      <w:pPr>
        <w:numPr>
          <w:ilvl w:val="0"/>
          <w:numId w:val="39"/>
        </w:numPr>
        <w:tabs>
          <w:tab w:val="left" w:pos="993"/>
        </w:tabs>
        <w:spacing w:line="276" w:lineRule="auto"/>
        <w:ind w:left="993" w:hanging="426"/>
        <w:jc w:val="both"/>
        <w:rPr>
          <w:rFonts w:ascii="Verdana" w:hAnsi="Verdana"/>
          <w:sz w:val="22"/>
          <w:szCs w:val="22"/>
        </w:rPr>
      </w:pPr>
      <w:r w:rsidRPr="00DA2290">
        <w:rPr>
          <w:rFonts w:ascii="Verdana" w:hAnsi="Verdana"/>
          <w:sz w:val="22"/>
          <w:szCs w:val="22"/>
        </w:rPr>
        <w:t xml:space="preserve">Contribute to higher </w:t>
      </w:r>
      <w:r w:rsidR="00A5504F" w:rsidRPr="00DA2290">
        <w:rPr>
          <w:rFonts w:ascii="Verdana" w:hAnsi="Verdana"/>
          <w:sz w:val="22"/>
          <w:szCs w:val="22"/>
        </w:rPr>
        <w:t xml:space="preserve">level of </w:t>
      </w:r>
      <w:r w:rsidR="00A5504F" w:rsidRPr="00DA2290">
        <w:rPr>
          <w:rFonts w:ascii="Verdana" w:hAnsi="Verdana"/>
          <w:bCs/>
          <w:sz w:val="22"/>
          <w:szCs w:val="22"/>
          <w:lang w:eastAsia="de-DE"/>
        </w:rPr>
        <w:t xml:space="preserve">comparability </w:t>
      </w:r>
      <w:r w:rsidR="00A95533" w:rsidRPr="00DA2290">
        <w:rPr>
          <w:rFonts w:ascii="Verdana" w:hAnsi="Verdana"/>
          <w:bCs/>
          <w:sz w:val="22"/>
          <w:szCs w:val="22"/>
          <w:lang w:eastAsia="de-DE"/>
        </w:rPr>
        <w:t xml:space="preserve">among Member States regarding </w:t>
      </w:r>
      <w:r w:rsidR="00A5504F" w:rsidRPr="00DA2290">
        <w:rPr>
          <w:rFonts w:ascii="Verdana" w:hAnsi="Verdana"/>
          <w:bCs/>
          <w:sz w:val="22"/>
          <w:szCs w:val="22"/>
          <w:lang w:eastAsia="de-DE"/>
        </w:rPr>
        <w:t>the reported information.</w:t>
      </w:r>
    </w:p>
    <w:p w:rsidR="006C3B31" w:rsidRPr="00DA2290" w:rsidRDefault="006C3B31" w:rsidP="00B12107">
      <w:pPr>
        <w:autoSpaceDE w:val="0"/>
        <w:autoSpaceDN w:val="0"/>
        <w:adjustRightInd w:val="0"/>
        <w:spacing w:before="120" w:line="276" w:lineRule="auto"/>
        <w:jc w:val="both"/>
        <w:rPr>
          <w:rFonts w:ascii="Verdana" w:hAnsi="Verdana"/>
          <w:b/>
          <w:i/>
          <w:sz w:val="22"/>
          <w:szCs w:val="22"/>
          <w:u w:val="single"/>
        </w:rPr>
      </w:pPr>
      <w:r w:rsidRPr="00DA2290">
        <w:rPr>
          <w:rFonts w:ascii="Verdana" w:hAnsi="Verdana"/>
          <w:b/>
          <w:i/>
          <w:sz w:val="22"/>
          <w:szCs w:val="22"/>
          <w:u w:val="single"/>
        </w:rPr>
        <w:t xml:space="preserve">Comparison of positive </w:t>
      </w:r>
      <w:r w:rsidR="00EC2A23" w:rsidRPr="00DA2290">
        <w:rPr>
          <w:rFonts w:ascii="Verdana" w:hAnsi="Verdana"/>
          <w:b/>
          <w:i/>
          <w:sz w:val="22"/>
          <w:szCs w:val="22"/>
          <w:u w:val="single"/>
        </w:rPr>
        <w:t xml:space="preserve">&amp; </w:t>
      </w:r>
      <w:r w:rsidRPr="00DA2290">
        <w:rPr>
          <w:rFonts w:ascii="Verdana" w:hAnsi="Verdana"/>
          <w:b/>
          <w:i/>
          <w:sz w:val="22"/>
          <w:szCs w:val="22"/>
          <w:u w:val="single"/>
        </w:rPr>
        <w:t>negative impacts of</w:t>
      </w:r>
      <w:r w:rsidR="009E774F" w:rsidRPr="00DA2290">
        <w:rPr>
          <w:rFonts w:ascii="Verdana" w:hAnsi="Verdana"/>
          <w:b/>
          <w:i/>
          <w:sz w:val="22"/>
          <w:szCs w:val="22"/>
          <w:u w:val="single"/>
        </w:rPr>
        <w:t xml:space="preserve"> </w:t>
      </w:r>
      <w:r w:rsidRPr="00DA2290">
        <w:rPr>
          <w:rFonts w:ascii="Verdana" w:hAnsi="Verdana"/>
          <w:b/>
          <w:i/>
          <w:sz w:val="22"/>
          <w:szCs w:val="22"/>
          <w:u w:val="single"/>
        </w:rPr>
        <w:t xml:space="preserve">policy options </w:t>
      </w:r>
      <w:r w:rsidR="00A1056F" w:rsidRPr="00DA2290">
        <w:rPr>
          <w:rFonts w:ascii="Verdana" w:hAnsi="Verdana"/>
          <w:b/>
          <w:i/>
          <w:sz w:val="22"/>
          <w:szCs w:val="22"/>
          <w:u w:val="single"/>
        </w:rPr>
        <w:t xml:space="preserve">under </w:t>
      </w:r>
      <w:r w:rsidR="007E254D" w:rsidRPr="00DA2290">
        <w:rPr>
          <w:rFonts w:ascii="Verdana" w:hAnsi="Verdana"/>
          <w:b/>
          <w:i/>
          <w:sz w:val="22"/>
          <w:szCs w:val="22"/>
          <w:u w:val="single"/>
        </w:rPr>
        <w:t>S</w:t>
      </w:r>
      <w:r w:rsidR="00A1056F" w:rsidRPr="00DA2290">
        <w:rPr>
          <w:rFonts w:ascii="Verdana" w:hAnsi="Verdana"/>
          <w:b/>
          <w:i/>
          <w:sz w:val="22"/>
          <w:szCs w:val="22"/>
          <w:u w:val="single"/>
        </w:rPr>
        <w:t>et 1</w:t>
      </w:r>
      <w:r w:rsidRPr="00DA2290">
        <w:rPr>
          <w:rFonts w:ascii="Verdana" w:hAnsi="Verdana"/>
          <w:b/>
          <w:i/>
          <w:sz w:val="22"/>
          <w:szCs w:val="22"/>
          <w:u w:val="single"/>
        </w:rPr>
        <w:t xml:space="preserve"> </w:t>
      </w:r>
    </w:p>
    <w:p w:rsidR="006C3B31" w:rsidRPr="00DA2290" w:rsidRDefault="006C3B31" w:rsidP="00B12107">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Both </w:t>
      </w:r>
      <w:r w:rsidRPr="00DA2290">
        <w:rPr>
          <w:rFonts w:ascii="Verdana" w:hAnsi="Verdana"/>
          <w:sz w:val="22"/>
        </w:rPr>
        <w:t>options</w:t>
      </w:r>
      <w:r w:rsidRPr="00DA2290">
        <w:rPr>
          <w:rFonts w:ascii="Verdana" w:hAnsi="Verdana"/>
          <w:sz w:val="22"/>
          <w:szCs w:val="22"/>
        </w:rPr>
        <w:t xml:space="preserve"> achieve the objectives of implementing Article 20(11) of the IORP Directive and will promote </w:t>
      </w:r>
      <w:r w:rsidR="00A5504F" w:rsidRPr="00DA2290">
        <w:rPr>
          <w:rFonts w:ascii="Verdana" w:hAnsi="Verdana"/>
          <w:sz w:val="22"/>
          <w:szCs w:val="22"/>
        </w:rPr>
        <w:t xml:space="preserve">transparency and </w:t>
      </w:r>
      <w:r w:rsidRPr="00DA2290">
        <w:rPr>
          <w:rFonts w:ascii="Verdana" w:hAnsi="Verdana"/>
          <w:sz w:val="22"/>
          <w:szCs w:val="22"/>
        </w:rPr>
        <w:t>harmonisation. However, both options differ in their positive and negative impacts.</w:t>
      </w:r>
    </w:p>
    <w:p w:rsidR="006C3B31" w:rsidRPr="00DA2290" w:rsidRDefault="006C3B31" w:rsidP="009E774F">
      <w:pPr>
        <w:numPr>
          <w:ilvl w:val="0"/>
          <w:numId w:val="40"/>
        </w:numPr>
        <w:autoSpaceDE w:val="0"/>
        <w:autoSpaceDN w:val="0"/>
        <w:adjustRightInd w:val="0"/>
        <w:spacing w:before="120" w:line="276" w:lineRule="auto"/>
        <w:ind w:left="567" w:hanging="567"/>
        <w:jc w:val="both"/>
        <w:rPr>
          <w:rFonts w:ascii="Verdana" w:hAnsi="Verdana"/>
          <w:sz w:val="22"/>
        </w:rPr>
      </w:pPr>
      <w:r w:rsidRPr="00DA2290">
        <w:rPr>
          <w:rFonts w:ascii="Verdana" w:hAnsi="Verdana"/>
          <w:b/>
          <w:sz w:val="22"/>
          <w:u w:val="single"/>
        </w:rPr>
        <w:t xml:space="preserve">Positive impacts of </w:t>
      </w:r>
      <w:r w:rsidRPr="00DA2290">
        <w:rPr>
          <w:rFonts w:ascii="Verdana" w:hAnsi="Verdana"/>
          <w:b/>
          <w:sz w:val="22"/>
          <w:szCs w:val="22"/>
          <w:u w:val="single"/>
        </w:rPr>
        <w:t>adopting</w:t>
      </w:r>
      <w:r w:rsidRPr="00DA2290">
        <w:rPr>
          <w:rFonts w:ascii="Verdana" w:hAnsi="Verdana"/>
          <w:b/>
          <w:sz w:val="22"/>
          <w:u w:val="single"/>
        </w:rPr>
        <w:t xml:space="preserve"> option </w:t>
      </w:r>
      <w:r w:rsidR="001242A9" w:rsidRPr="00DA2290">
        <w:rPr>
          <w:rFonts w:ascii="Verdana" w:hAnsi="Verdana"/>
          <w:b/>
          <w:sz w:val="22"/>
          <w:u w:val="single"/>
        </w:rPr>
        <w:t>1.</w:t>
      </w:r>
      <w:r w:rsidRPr="00DA2290">
        <w:rPr>
          <w:rFonts w:ascii="Verdana" w:hAnsi="Verdana"/>
          <w:b/>
          <w:sz w:val="22"/>
          <w:u w:val="single"/>
        </w:rPr>
        <w:t>1</w:t>
      </w:r>
      <w:r w:rsidRPr="00DA2290">
        <w:rPr>
          <w:rFonts w:ascii="Verdana" w:hAnsi="Verdana"/>
          <w:sz w:val="22"/>
        </w:rPr>
        <w:t>:</w:t>
      </w:r>
    </w:p>
    <w:p w:rsidR="006C3B31" w:rsidRPr="00DA2290" w:rsidRDefault="00545C92"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C</w:t>
      </w:r>
      <w:r w:rsidR="006C3B31" w:rsidRPr="00DA2290">
        <w:rPr>
          <w:rFonts w:ascii="Verdana" w:hAnsi="Verdana"/>
          <w:bCs/>
          <w:sz w:val="22"/>
          <w:szCs w:val="22"/>
          <w:lang w:eastAsia="de-DE"/>
        </w:rPr>
        <w:t>ompetent authorities –</w:t>
      </w:r>
      <w:r w:rsidR="0084005A" w:rsidRPr="00DA2290">
        <w:rPr>
          <w:rFonts w:ascii="Verdana" w:hAnsi="Verdana"/>
          <w:bCs/>
          <w:sz w:val="22"/>
          <w:szCs w:val="22"/>
          <w:lang w:eastAsia="de-DE"/>
        </w:rPr>
        <w:t xml:space="preserve"> easier first transmission</w:t>
      </w:r>
      <w:r w:rsidRPr="00DA2290">
        <w:rPr>
          <w:rFonts w:ascii="Verdana" w:hAnsi="Verdana"/>
          <w:bCs/>
          <w:sz w:val="22"/>
          <w:szCs w:val="22"/>
          <w:lang w:eastAsia="de-DE"/>
        </w:rPr>
        <w:t>.</w:t>
      </w:r>
    </w:p>
    <w:p w:rsidR="006C3B31" w:rsidRPr="00DA2290" w:rsidRDefault="006C3B31"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IORPs, sponsoring undertakings</w:t>
      </w:r>
      <w:r w:rsidR="00B26278" w:rsidRPr="00DA2290">
        <w:rPr>
          <w:rFonts w:ascii="Verdana" w:hAnsi="Verdana"/>
          <w:bCs/>
          <w:sz w:val="22"/>
          <w:szCs w:val="22"/>
          <w:lang w:eastAsia="de-DE"/>
        </w:rPr>
        <w:t xml:space="preserve"> </w:t>
      </w:r>
      <w:r w:rsidRPr="00DA2290">
        <w:rPr>
          <w:rFonts w:ascii="Verdana" w:hAnsi="Verdana"/>
          <w:bCs/>
          <w:sz w:val="22"/>
          <w:szCs w:val="22"/>
          <w:lang w:eastAsia="de-DE"/>
        </w:rPr>
        <w:t>–</w:t>
      </w:r>
      <w:r w:rsidR="00B26278" w:rsidRPr="00DA2290">
        <w:rPr>
          <w:rFonts w:ascii="Verdana" w:hAnsi="Verdana"/>
          <w:bCs/>
          <w:sz w:val="22"/>
          <w:szCs w:val="22"/>
          <w:lang w:eastAsia="de-DE"/>
        </w:rPr>
        <w:t xml:space="preserve"> </w:t>
      </w:r>
      <w:r w:rsidRPr="00DA2290">
        <w:rPr>
          <w:rFonts w:ascii="Verdana" w:hAnsi="Verdana"/>
          <w:bCs/>
          <w:sz w:val="22"/>
          <w:szCs w:val="22"/>
          <w:lang w:eastAsia="de-DE"/>
        </w:rPr>
        <w:t>transparency because national provisions of all Member States are</w:t>
      </w:r>
      <w:r w:rsidR="00505AC6" w:rsidRPr="00DA2290">
        <w:rPr>
          <w:rFonts w:ascii="Verdana" w:hAnsi="Verdana"/>
          <w:bCs/>
          <w:sz w:val="22"/>
          <w:szCs w:val="22"/>
          <w:lang w:eastAsia="de-DE"/>
        </w:rPr>
        <w:t xml:space="preserve"> stored and</w:t>
      </w:r>
      <w:r w:rsidRPr="00DA2290">
        <w:rPr>
          <w:rFonts w:ascii="Verdana" w:hAnsi="Verdana"/>
          <w:bCs/>
          <w:sz w:val="22"/>
          <w:szCs w:val="22"/>
          <w:lang w:eastAsia="de-DE"/>
        </w:rPr>
        <w:t xml:space="preserve"> </w:t>
      </w:r>
      <w:r w:rsidR="00505AC6" w:rsidRPr="00DA2290">
        <w:rPr>
          <w:rFonts w:ascii="Verdana" w:hAnsi="Verdana"/>
          <w:bCs/>
          <w:sz w:val="22"/>
          <w:szCs w:val="22"/>
          <w:lang w:eastAsia="de-DE"/>
        </w:rPr>
        <w:t xml:space="preserve">available </w:t>
      </w:r>
      <w:r w:rsidRPr="00DA2290">
        <w:rPr>
          <w:rFonts w:ascii="Verdana" w:hAnsi="Verdana"/>
          <w:bCs/>
          <w:sz w:val="22"/>
          <w:szCs w:val="22"/>
          <w:lang w:eastAsia="de-DE"/>
        </w:rPr>
        <w:t>in one place</w:t>
      </w:r>
      <w:r w:rsidR="00B26278" w:rsidRPr="00DA2290">
        <w:rPr>
          <w:rFonts w:ascii="Verdana" w:hAnsi="Verdana"/>
          <w:bCs/>
          <w:sz w:val="22"/>
          <w:szCs w:val="22"/>
          <w:lang w:eastAsia="de-DE"/>
        </w:rPr>
        <w:t xml:space="preserve"> (EIOPA website)</w:t>
      </w:r>
      <w:r w:rsidRPr="00DA2290">
        <w:rPr>
          <w:rFonts w:ascii="Verdana" w:hAnsi="Verdana"/>
          <w:bCs/>
          <w:sz w:val="22"/>
          <w:szCs w:val="22"/>
          <w:lang w:eastAsia="de-DE"/>
        </w:rPr>
        <w:t>.</w:t>
      </w:r>
      <w:r w:rsidR="000A5B71" w:rsidRPr="00DA2290">
        <w:rPr>
          <w:rFonts w:ascii="Verdana" w:hAnsi="Verdana"/>
          <w:bCs/>
          <w:sz w:val="22"/>
          <w:szCs w:val="22"/>
          <w:lang w:eastAsia="de-DE"/>
        </w:rPr>
        <w:t xml:space="preserve"> </w:t>
      </w:r>
      <w:r w:rsidR="00B26278" w:rsidRPr="00DA2290">
        <w:rPr>
          <w:rFonts w:ascii="Verdana" w:hAnsi="Verdana"/>
          <w:bCs/>
          <w:sz w:val="22"/>
          <w:szCs w:val="22"/>
          <w:lang w:eastAsia="de-DE"/>
        </w:rPr>
        <w:t xml:space="preserve">Possible increase of cross-border activity; reduction in legal transaction costs which may result in lower fees/increased benefits. </w:t>
      </w:r>
      <w:r w:rsidR="00B26278" w:rsidRPr="00DA2290" w:rsidDel="00D2249E">
        <w:rPr>
          <w:rFonts w:ascii="Verdana" w:hAnsi="Verdana"/>
          <w:bCs/>
          <w:sz w:val="22"/>
          <w:szCs w:val="22"/>
          <w:lang w:eastAsia="de-DE"/>
        </w:rPr>
        <w:t xml:space="preserve"> </w:t>
      </w:r>
      <w:r w:rsidR="00B26278" w:rsidRPr="00DA2290">
        <w:rPr>
          <w:rFonts w:ascii="Verdana" w:hAnsi="Verdana"/>
          <w:bCs/>
          <w:sz w:val="22"/>
          <w:szCs w:val="22"/>
          <w:lang w:eastAsia="de-DE"/>
        </w:rPr>
        <w:t xml:space="preserve"> </w:t>
      </w:r>
    </w:p>
    <w:p w:rsidR="00B26278" w:rsidRPr="00DA2290" w:rsidRDefault="00B26278"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 xml:space="preserve">Members and beneficiaries </w:t>
      </w:r>
      <w:r w:rsidR="004175A4" w:rsidRPr="00DA2290">
        <w:rPr>
          <w:rFonts w:ascii="Verdana" w:hAnsi="Verdana"/>
          <w:bCs/>
          <w:sz w:val="22"/>
          <w:szCs w:val="22"/>
          <w:lang w:eastAsia="de-DE"/>
        </w:rPr>
        <w:t>–</w:t>
      </w:r>
      <w:r w:rsidRPr="00DA2290">
        <w:rPr>
          <w:rFonts w:ascii="Verdana" w:hAnsi="Verdana"/>
          <w:bCs/>
          <w:sz w:val="22"/>
          <w:szCs w:val="22"/>
          <w:lang w:eastAsia="de-DE"/>
        </w:rPr>
        <w:t xml:space="preserve"> </w:t>
      </w:r>
      <w:r w:rsidR="004175A4" w:rsidRPr="00DA2290">
        <w:rPr>
          <w:rFonts w:ascii="Verdana" w:hAnsi="Verdana"/>
          <w:bCs/>
          <w:sz w:val="22"/>
          <w:szCs w:val="22"/>
          <w:lang w:eastAsia="de-DE"/>
        </w:rPr>
        <w:t xml:space="preserve">transparency; </w:t>
      </w:r>
      <w:r w:rsidRPr="00DA2290">
        <w:rPr>
          <w:rFonts w:ascii="Verdana" w:hAnsi="Verdana"/>
          <w:bCs/>
          <w:sz w:val="22"/>
          <w:szCs w:val="22"/>
          <w:lang w:eastAsia="de-DE"/>
        </w:rPr>
        <w:t>access to the national provisions of prudential nature; reduction in legal transaction costs which may result in lower fees/increased benefits.</w:t>
      </w:r>
    </w:p>
    <w:p w:rsidR="006C3B31" w:rsidRPr="00DA2290" w:rsidRDefault="006C3B31" w:rsidP="009E774F">
      <w:pPr>
        <w:numPr>
          <w:ilvl w:val="0"/>
          <w:numId w:val="40"/>
        </w:numPr>
        <w:autoSpaceDE w:val="0"/>
        <w:autoSpaceDN w:val="0"/>
        <w:adjustRightInd w:val="0"/>
        <w:spacing w:before="120" w:line="276" w:lineRule="auto"/>
        <w:ind w:left="567" w:hanging="567"/>
        <w:jc w:val="both"/>
        <w:rPr>
          <w:rFonts w:ascii="Verdana" w:hAnsi="Verdana"/>
          <w:sz w:val="22"/>
        </w:rPr>
      </w:pPr>
      <w:r w:rsidRPr="00DA2290">
        <w:rPr>
          <w:rFonts w:ascii="Verdana" w:hAnsi="Verdana"/>
          <w:b/>
          <w:sz w:val="22"/>
          <w:szCs w:val="22"/>
          <w:u w:val="single"/>
        </w:rPr>
        <w:t>Negative</w:t>
      </w:r>
      <w:r w:rsidRPr="00DA2290">
        <w:rPr>
          <w:rFonts w:ascii="Verdana" w:hAnsi="Verdana"/>
          <w:b/>
          <w:sz w:val="22"/>
          <w:u w:val="single"/>
        </w:rPr>
        <w:t xml:space="preserve"> impacts of adopting option </w:t>
      </w:r>
      <w:r w:rsidR="007D3679" w:rsidRPr="00DA2290">
        <w:rPr>
          <w:rFonts w:ascii="Verdana" w:hAnsi="Verdana"/>
          <w:b/>
          <w:sz w:val="22"/>
          <w:u w:val="single"/>
        </w:rPr>
        <w:t>1.</w:t>
      </w:r>
      <w:r w:rsidRPr="00DA2290">
        <w:rPr>
          <w:rFonts w:ascii="Verdana" w:hAnsi="Verdana"/>
          <w:b/>
          <w:sz w:val="22"/>
          <w:u w:val="single"/>
        </w:rPr>
        <w:t>1</w:t>
      </w:r>
      <w:r w:rsidRPr="00DA2290">
        <w:rPr>
          <w:rFonts w:ascii="Verdana" w:hAnsi="Verdana"/>
          <w:sz w:val="22"/>
        </w:rPr>
        <w:t>:</w:t>
      </w:r>
    </w:p>
    <w:p w:rsidR="0084005A" w:rsidRPr="00DA2290" w:rsidRDefault="00545C92"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C</w:t>
      </w:r>
      <w:r w:rsidR="006C3B31" w:rsidRPr="00DA2290">
        <w:rPr>
          <w:rFonts w:ascii="Verdana" w:hAnsi="Verdana"/>
          <w:bCs/>
          <w:sz w:val="22"/>
          <w:szCs w:val="22"/>
          <w:lang w:eastAsia="de-DE"/>
        </w:rPr>
        <w:t>ompetent authorities –</w:t>
      </w:r>
      <w:r w:rsidR="0084005A" w:rsidRPr="00DA2290">
        <w:rPr>
          <w:rFonts w:ascii="Verdana" w:hAnsi="Verdana"/>
          <w:bCs/>
          <w:sz w:val="22"/>
          <w:szCs w:val="22"/>
          <w:lang w:eastAsia="de-DE"/>
        </w:rPr>
        <w:t xml:space="preserve"> higher expected cost in the long term; more difficult to update the information in the future.</w:t>
      </w:r>
    </w:p>
    <w:p w:rsidR="0084005A" w:rsidRPr="00DA2290" w:rsidRDefault="006C3B31" w:rsidP="0084005A">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IORPs and sponsoring undertakings –</w:t>
      </w:r>
      <w:r w:rsidR="00B26278" w:rsidRPr="00DA2290">
        <w:rPr>
          <w:rFonts w:ascii="Verdana" w:hAnsi="Verdana"/>
          <w:bCs/>
          <w:sz w:val="22"/>
          <w:szCs w:val="22"/>
          <w:lang w:eastAsia="de-DE"/>
        </w:rPr>
        <w:t xml:space="preserve"> </w:t>
      </w:r>
      <w:r w:rsidR="00D2249E" w:rsidRPr="00DA2290">
        <w:rPr>
          <w:rFonts w:ascii="Verdana" w:hAnsi="Verdana"/>
          <w:bCs/>
          <w:sz w:val="22"/>
          <w:szCs w:val="22"/>
          <w:lang w:eastAsia="de-DE"/>
        </w:rPr>
        <w:t>l</w:t>
      </w:r>
      <w:r w:rsidR="0084005A" w:rsidRPr="00DA2290">
        <w:rPr>
          <w:rFonts w:ascii="Verdana" w:hAnsi="Verdana"/>
          <w:bCs/>
          <w:sz w:val="22"/>
          <w:szCs w:val="22"/>
          <w:lang w:eastAsia="de-DE"/>
        </w:rPr>
        <w:t xml:space="preserve">ess comparability </w:t>
      </w:r>
      <w:r w:rsidR="00D2249E" w:rsidRPr="00DA2290">
        <w:rPr>
          <w:rFonts w:ascii="Verdana" w:hAnsi="Verdana"/>
          <w:bCs/>
          <w:sz w:val="22"/>
          <w:szCs w:val="22"/>
          <w:lang w:eastAsia="de-DE"/>
        </w:rPr>
        <w:t xml:space="preserve">because the reported information is not structured. </w:t>
      </w:r>
      <w:r w:rsidR="0035521A" w:rsidRPr="00DA2290">
        <w:rPr>
          <w:rFonts w:ascii="Verdana" w:hAnsi="Verdana"/>
          <w:bCs/>
          <w:sz w:val="22"/>
          <w:szCs w:val="22"/>
          <w:lang w:eastAsia="de-DE"/>
        </w:rPr>
        <w:t>Potential increased costs in fees/contributions.</w:t>
      </w:r>
    </w:p>
    <w:p w:rsidR="0035521A" w:rsidRPr="00DA2290" w:rsidRDefault="00545C92" w:rsidP="0035521A">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M</w:t>
      </w:r>
      <w:r w:rsidR="006C3B31" w:rsidRPr="00DA2290">
        <w:rPr>
          <w:rFonts w:ascii="Verdana" w:hAnsi="Verdana"/>
          <w:bCs/>
          <w:sz w:val="22"/>
          <w:szCs w:val="22"/>
          <w:lang w:eastAsia="de-DE"/>
        </w:rPr>
        <w:t>embers and beneficiaries –</w:t>
      </w:r>
      <w:r w:rsidR="00B26278" w:rsidRPr="00DA2290">
        <w:rPr>
          <w:rFonts w:ascii="Verdana" w:hAnsi="Verdana"/>
          <w:bCs/>
          <w:sz w:val="22"/>
          <w:szCs w:val="22"/>
          <w:lang w:eastAsia="de-DE"/>
        </w:rPr>
        <w:t xml:space="preserve"> </w:t>
      </w:r>
      <w:r w:rsidR="0035521A" w:rsidRPr="00DA2290">
        <w:rPr>
          <w:rFonts w:ascii="Verdana" w:hAnsi="Verdana"/>
          <w:bCs/>
          <w:sz w:val="22"/>
          <w:szCs w:val="22"/>
          <w:lang w:eastAsia="de-DE"/>
        </w:rPr>
        <w:t>lower level of</w:t>
      </w:r>
      <w:r w:rsidR="000A5B71" w:rsidRPr="00DA2290">
        <w:rPr>
          <w:rFonts w:ascii="Verdana" w:hAnsi="Verdana"/>
          <w:bCs/>
          <w:sz w:val="22"/>
          <w:szCs w:val="22"/>
          <w:lang w:eastAsia="de-DE"/>
        </w:rPr>
        <w:t xml:space="preserve"> comparability</w:t>
      </w:r>
      <w:r w:rsidR="00B26278" w:rsidRPr="00DA2290">
        <w:rPr>
          <w:rFonts w:ascii="Verdana" w:hAnsi="Verdana"/>
          <w:bCs/>
          <w:sz w:val="22"/>
          <w:szCs w:val="22"/>
          <w:lang w:eastAsia="de-DE"/>
        </w:rPr>
        <w:t xml:space="preserve">. </w:t>
      </w:r>
      <w:r w:rsidR="0035521A" w:rsidRPr="00DA2290">
        <w:rPr>
          <w:rFonts w:ascii="Verdana" w:hAnsi="Verdana"/>
          <w:bCs/>
          <w:sz w:val="22"/>
          <w:szCs w:val="22"/>
          <w:lang w:eastAsia="de-DE"/>
        </w:rPr>
        <w:t xml:space="preserve">Potential increased regulation costs that could impact on members’ and beneficiaries’ benefits. </w:t>
      </w:r>
    </w:p>
    <w:p w:rsidR="006C3B31" w:rsidRPr="00DA2290" w:rsidRDefault="006C3B31" w:rsidP="00A921A6">
      <w:pPr>
        <w:numPr>
          <w:ilvl w:val="0"/>
          <w:numId w:val="40"/>
        </w:numPr>
        <w:autoSpaceDE w:val="0"/>
        <w:autoSpaceDN w:val="0"/>
        <w:adjustRightInd w:val="0"/>
        <w:spacing w:before="120" w:line="276" w:lineRule="auto"/>
        <w:ind w:left="567" w:hanging="567"/>
        <w:jc w:val="both"/>
        <w:rPr>
          <w:rFonts w:ascii="Verdana" w:hAnsi="Verdana"/>
          <w:sz w:val="22"/>
        </w:rPr>
      </w:pPr>
      <w:r w:rsidRPr="00DA2290">
        <w:rPr>
          <w:rFonts w:ascii="Verdana" w:hAnsi="Verdana"/>
          <w:b/>
          <w:sz w:val="22"/>
          <w:u w:val="single"/>
        </w:rPr>
        <w:t xml:space="preserve">Positive </w:t>
      </w:r>
      <w:r w:rsidRPr="00DA2290">
        <w:rPr>
          <w:rFonts w:ascii="Verdana" w:hAnsi="Verdana"/>
          <w:b/>
          <w:sz w:val="22"/>
          <w:szCs w:val="22"/>
          <w:u w:val="single"/>
        </w:rPr>
        <w:t>impacts</w:t>
      </w:r>
      <w:r w:rsidRPr="00DA2290">
        <w:rPr>
          <w:rFonts w:ascii="Verdana" w:hAnsi="Verdana"/>
          <w:b/>
          <w:sz w:val="22"/>
          <w:u w:val="single"/>
        </w:rPr>
        <w:t xml:space="preserve"> of adopting option </w:t>
      </w:r>
      <w:r w:rsidR="007D3679" w:rsidRPr="00DA2290">
        <w:rPr>
          <w:rFonts w:ascii="Verdana" w:hAnsi="Verdana"/>
          <w:b/>
          <w:sz w:val="22"/>
          <w:u w:val="single"/>
        </w:rPr>
        <w:t>1.</w:t>
      </w:r>
      <w:r w:rsidRPr="00DA2290">
        <w:rPr>
          <w:rFonts w:ascii="Verdana" w:hAnsi="Verdana"/>
          <w:b/>
          <w:sz w:val="22"/>
          <w:u w:val="single"/>
        </w:rPr>
        <w:t>2</w:t>
      </w:r>
      <w:r w:rsidRPr="00DA2290">
        <w:rPr>
          <w:rFonts w:ascii="Verdana" w:hAnsi="Verdana"/>
          <w:sz w:val="22"/>
        </w:rPr>
        <w:t>:</w:t>
      </w:r>
    </w:p>
    <w:p w:rsidR="006C3B31" w:rsidRPr="00DA2290" w:rsidRDefault="00545C92"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C</w:t>
      </w:r>
      <w:r w:rsidR="006C3B31" w:rsidRPr="00DA2290">
        <w:rPr>
          <w:rFonts w:ascii="Verdana" w:hAnsi="Verdana"/>
          <w:bCs/>
          <w:sz w:val="22"/>
          <w:szCs w:val="22"/>
          <w:lang w:eastAsia="de-DE"/>
        </w:rPr>
        <w:t xml:space="preserve">ompetent authorities - transparency and comparability of reported </w:t>
      </w:r>
      <w:r w:rsidR="005C15BD" w:rsidRPr="00DA2290">
        <w:rPr>
          <w:rFonts w:ascii="Verdana" w:hAnsi="Verdana"/>
          <w:bCs/>
          <w:sz w:val="22"/>
          <w:szCs w:val="22"/>
          <w:lang w:eastAsia="de-DE"/>
        </w:rPr>
        <w:t>information</w:t>
      </w:r>
      <w:r w:rsidR="006C3B31" w:rsidRPr="00DA2290">
        <w:rPr>
          <w:rFonts w:ascii="Verdana" w:hAnsi="Verdana"/>
          <w:bCs/>
          <w:sz w:val="22"/>
          <w:szCs w:val="22"/>
          <w:lang w:eastAsia="de-DE"/>
        </w:rPr>
        <w:t>; increase of consistency and convergence of reporting</w:t>
      </w:r>
      <w:r w:rsidR="00107A92" w:rsidRPr="00DA2290">
        <w:rPr>
          <w:rFonts w:ascii="Verdana" w:hAnsi="Verdana"/>
          <w:bCs/>
          <w:sz w:val="22"/>
          <w:szCs w:val="22"/>
          <w:lang w:eastAsia="de-DE"/>
        </w:rPr>
        <w:t>; easier to provide updates in the future</w:t>
      </w:r>
      <w:r w:rsidRPr="00DA2290">
        <w:rPr>
          <w:rFonts w:ascii="Verdana" w:hAnsi="Verdana"/>
          <w:bCs/>
          <w:sz w:val="22"/>
          <w:szCs w:val="22"/>
          <w:lang w:eastAsia="de-DE"/>
        </w:rPr>
        <w:t>.</w:t>
      </w:r>
      <w:r w:rsidR="006C3B31" w:rsidRPr="00DA2290">
        <w:rPr>
          <w:rFonts w:ascii="Verdana" w:hAnsi="Verdana"/>
          <w:bCs/>
          <w:sz w:val="22"/>
          <w:szCs w:val="22"/>
          <w:lang w:eastAsia="de-DE"/>
        </w:rPr>
        <w:t xml:space="preserve"> </w:t>
      </w:r>
    </w:p>
    <w:p w:rsidR="006C3B31" w:rsidRPr="00DA2290" w:rsidRDefault="006C3B31"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 xml:space="preserve">IORPs and sponsoring undertakings – transparency and comparability </w:t>
      </w:r>
      <w:r w:rsidR="004175A4" w:rsidRPr="00DA2290">
        <w:rPr>
          <w:rFonts w:ascii="Verdana" w:hAnsi="Verdana"/>
          <w:bCs/>
          <w:sz w:val="22"/>
          <w:szCs w:val="22"/>
          <w:lang w:eastAsia="de-DE"/>
        </w:rPr>
        <w:t>provided</w:t>
      </w:r>
      <w:r w:rsidR="00B26278" w:rsidRPr="00DA2290">
        <w:rPr>
          <w:rFonts w:ascii="Verdana" w:hAnsi="Verdana"/>
          <w:bCs/>
          <w:sz w:val="22"/>
          <w:szCs w:val="22"/>
          <w:lang w:eastAsia="de-DE"/>
        </w:rPr>
        <w:t>;</w:t>
      </w:r>
      <w:r w:rsidR="004175A4" w:rsidRPr="00DA2290">
        <w:rPr>
          <w:rFonts w:ascii="Verdana" w:hAnsi="Verdana"/>
          <w:bCs/>
          <w:sz w:val="22"/>
          <w:szCs w:val="22"/>
          <w:lang w:eastAsia="de-DE"/>
        </w:rPr>
        <w:t xml:space="preserve"> </w:t>
      </w:r>
      <w:r w:rsidRPr="00DA2290">
        <w:rPr>
          <w:rFonts w:ascii="Verdana" w:hAnsi="Verdana"/>
          <w:bCs/>
          <w:sz w:val="22"/>
          <w:szCs w:val="22"/>
          <w:lang w:eastAsia="de-DE"/>
        </w:rPr>
        <w:t xml:space="preserve">better access to </w:t>
      </w:r>
      <w:r w:rsidR="00B26278" w:rsidRPr="00DA2290">
        <w:rPr>
          <w:rFonts w:ascii="Verdana" w:hAnsi="Verdana"/>
          <w:bCs/>
          <w:sz w:val="22"/>
          <w:szCs w:val="22"/>
          <w:lang w:eastAsia="de-DE"/>
        </w:rPr>
        <w:t>th</w:t>
      </w:r>
      <w:r w:rsidR="004175A4" w:rsidRPr="00DA2290">
        <w:rPr>
          <w:rFonts w:ascii="Verdana" w:hAnsi="Verdana"/>
          <w:bCs/>
          <w:sz w:val="22"/>
          <w:szCs w:val="22"/>
          <w:lang w:eastAsia="de-DE"/>
        </w:rPr>
        <w:t>e national</w:t>
      </w:r>
      <w:r w:rsidR="00B26278" w:rsidRPr="00DA2290">
        <w:rPr>
          <w:rFonts w:ascii="Verdana" w:hAnsi="Verdana"/>
          <w:bCs/>
          <w:sz w:val="22"/>
          <w:szCs w:val="22"/>
          <w:lang w:eastAsia="de-DE"/>
        </w:rPr>
        <w:t xml:space="preserve"> provisions </w:t>
      </w:r>
      <w:r w:rsidR="004175A4" w:rsidRPr="00DA2290">
        <w:rPr>
          <w:rFonts w:ascii="Verdana" w:hAnsi="Verdana"/>
          <w:bCs/>
          <w:sz w:val="22"/>
          <w:szCs w:val="22"/>
          <w:lang w:eastAsia="de-DE"/>
        </w:rPr>
        <w:t xml:space="preserve">of prudential nature as </w:t>
      </w:r>
      <w:r w:rsidR="00B26278" w:rsidRPr="00DA2290">
        <w:rPr>
          <w:rFonts w:ascii="Verdana" w:hAnsi="Verdana"/>
          <w:bCs/>
          <w:sz w:val="22"/>
          <w:szCs w:val="22"/>
          <w:lang w:eastAsia="de-DE"/>
        </w:rPr>
        <w:t xml:space="preserve">the information is stored and available in one place (EIOPA website);  </w:t>
      </w:r>
      <w:r w:rsidRPr="00DA2290">
        <w:rPr>
          <w:rFonts w:ascii="Verdana" w:hAnsi="Verdana"/>
          <w:bCs/>
          <w:sz w:val="22"/>
          <w:szCs w:val="22"/>
          <w:lang w:eastAsia="de-DE"/>
        </w:rPr>
        <w:t>possible increase of cross-border activity; reduction in legal transaction costs which may result in lower fees/increased benefits</w:t>
      </w:r>
      <w:r w:rsidR="00545C92" w:rsidRPr="00DA2290">
        <w:rPr>
          <w:rFonts w:ascii="Verdana" w:hAnsi="Verdana"/>
          <w:bCs/>
          <w:sz w:val="22"/>
          <w:szCs w:val="22"/>
          <w:lang w:eastAsia="de-DE"/>
        </w:rPr>
        <w:t>.</w:t>
      </w:r>
      <w:r w:rsidRPr="00DA2290">
        <w:rPr>
          <w:rFonts w:ascii="Verdana" w:hAnsi="Verdana"/>
          <w:bCs/>
          <w:sz w:val="22"/>
          <w:szCs w:val="22"/>
          <w:lang w:eastAsia="de-DE"/>
        </w:rPr>
        <w:t xml:space="preserve"> </w:t>
      </w:r>
    </w:p>
    <w:p w:rsidR="006C3B31" w:rsidRPr="00DA2290" w:rsidRDefault="00545C92"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M</w:t>
      </w:r>
      <w:r w:rsidR="006C3B31" w:rsidRPr="00DA2290">
        <w:rPr>
          <w:rFonts w:ascii="Verdana" w:hAnsi="Verdana"/>
          <w:bCs/>
          <w:sz w:val="22"/>
          <w:szCs w:val="22"/>
          <w:lang w:eastAsia="de-DE"/>
        </w:rPr>
        <w:t>embers and beneficiaries – transparency and comparability</w:t>
      </w:r>
      <w:r w:rsidR="004175A4" w:rsidRPr="00DA2290">
        <w:rPr>
          <w:rFonts w:ascii="Verdana" w:hAnsi="Verdana"/>
          <w:bCs/>
          <w:sz w:val="22"/>
          <w:szCs w:val="22"/>
          <w:lang w:eastAsia="de-DE"/>
        </w:rPr>
        <w:t xml:space="preserve">; </w:t>
      </w:r>
      <w:r w:rsidR="006C3B31" w:rsidRPr="00DA2290">
        <w:rPr>
          <w:rFonts w:ascii="Verdana" w:hAnsi="Verdana"/>
          <w:bCs/>
          <w:sz w:val="22"/>
          <w:szCs w:val="22"/>
          <w:lang w:eastAsia="de-DE"/>
        </w:rPr>
        <w:t xml:space="preserve">better access to </w:t>
      </w:r>
      <w:r w:rsidR="0049595B" w:rsidRPr="00DA2290">
        <w:rPr>
          <w:rFonts w:ascii="Verdana" w:hAnsi="Verdana"/>
          <w:bCs/>
          <w:sz w:val="22"/>
          <w:szCs w:val="22"/>
          <w:lang w:eastAsia="de-DE"/>
        </w:rPr>
        <w:t xml:space="preserve">the </w:t>
      </w:r>
      <w:r w:rsidR="0035521A" w:rsidRPr="00DA2290">
        <w:rPr>
          <w:rFonts w:ascii="Verdana" w:hAnsi="Verdana"/>
          <w:bCs/>
          <w:sz w:val="22"/>
          <w:szCs w:val="22"/>
          <w:lang w:eastAsia="de-DE"/>
        </w:rPr>
        <w:t xml:space="preserve">national provisions </w:t>
      </w:r>
      <w:r w:rsidR="006C3B31" w:rsidRPr="00DA2290">
        <w:rPr>
          <w:rFonts w:ascii="Verdana" w:hAnsi="Verdana"/>
          <w:bCs/>
          <w:sz w:val="22"/>
          <w:szCs w:val="22"/>
          <w:lang w:eastAsia="de-DE"/>
        </w:rPr>
        <w:t>of prudential nature</w:t>
      </w:r>
      <w:r w:rsidR="004175A4" w:rsidRPr="00DA2290">
        <w:rPr>
          <w:rFonts w:ascii="Verdana" w:hAnsi="Verdana"/>
          <w:bCs/>
          <w:sz w:val="22"/>
          <w:szCs w:val="22"/>
          <w:lang w:eastAsia="de-DE"/>
        </w:rPr>
        <w:t xml:space="preserve"> at EIOPA website</w:t>
      </w:r>
      <w:r w:rsidR="006C3B31" w:rsidRPr="00DA2290">
        <w:rPr>
          <w:rFonts w:ascii="Verdana" w:hAnsi="Verdana"/>
          <w:bCs/>
          <w:sz w:val="22"/>
          <w:szCs w:val="22"/>
          <w:lang w:eastAsia="de-DE"/>
        </w:rPr>
        <w:t>; reduction in legal transaction costs which may result in lower fees/increased benefits.</w:t>
      </w:r>
    </w:p>
    <w:p w:rsidR="006C3B31" w:rsidRPr="00DA2290" w:rsidRDefault="006C3B31" w:rsidP="00A921A6">
      <w:pPr>
        <w:numPr>
          <w:ilvl w:val="0"/>
          <w:numId w:val="40"/>
        </w:numPr>
        <w:autoSpaceDE w:val="0"/>
        <w:autoSpaceDN w:val="0"/>
        <w:adjustRightInd w:val="0"/>
        <w:spacing w:before="120" w:line="276" w:lineRule="auto"/>
        <w:ind w:left="567" w:hanging="567"/>
        <w:jc w:val="both"/>
        <w:rPr>
          <w:rFonts w:ascii="Verdana" w:hAnsi="Verdana"/>
          <w:sz w:val="22"/>
        </w:rPr>
      </w:pPr>
      <w:r w:rsidRPr="00DA2290">
        <w:rPr>
          <w:rFonts w:ascii="Verdana" w:hAnsi="Verdana"/>
          <w:b/>
          <w:sz w:val="22"/>
          <w:u w:val="single"/>
        </w:rPr>
        <w:t xml:space="preserve">Negative impacts of </w:t>
      </w:r>
      <w:r w:rsidRPr="00DA2290">
        <w:rPr>
          <w:rFonts w:ascii="Verdana" w:hAnsi="Verdana"/>
          <w:b/>
          <w:sz w:val="22"/>
          <w:szCs w:val="22"/>
          <w:u w:val="single"/>
        </w:rPr>
        <w:t>adopting</w:t>
      </w:r>
      <w:r w:rsidRPr="00DA2290">
        <w:rPr>
          <w:rFonts w:ascii="Verdana" w:hAnsi="Verdana"/>
          <w:b/>
          <w:sz w:val="22"/>
          <w:u w:val="single"/>
        </w:rPr>
        <w:t xml:space="preserve"> option </w:t>
      </w:r>
      <w:r w:rsidR="00242431" w:rsidRPr="00DA2290">
        <w:rPr>
          <w:rFonts w:ascii="Verdana" w:hAnsi="Verdana"/>
          <w:b/>
          <w:sz w:val="22"/>
          <w:u w:val="single"/>
        </w:rPr>
        <w:t>1.</w:t>
      </w:r>
      <w:r w:rsidRPr="00DA2290">
        <w:rPr>
          <w:rFonts w:ascii="Verdana" w:hAnsi="Verdana"/>
          <w:b/>
          <w:sz w:val="22"/>
          <w:u w:val="single"/>
        </w:rPr>
        <w:t>2</w:t>
      </w:r>
      <w:r w:rsidRPr="00DA2290">
        <w:rPr>
          <w:rFonts w:ascii="Verdana" w:hAnsi="Verdana"/>
          <w:sz w:val="22"/>
        </w:rPr>
        <w:t>:</w:t>
      </w:r>
    </w:p>
    <w:p w:rsidR="006C3B31" w:rsidRPr="00DA2290" w:rsidRDefault="00545C92"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C</w:t>
      </w:r>
      <w:r w:rsidR="006C3B31" w:rsidRPr="00DA2290">
        <w:rPr>
          <w:rFonts w:ascii="Verdana" w:hAnsi="Verdana"/>
          <w:bCs/>
          <w:sz w:val="22"/>
          <w:szCs w:val="22"/>
          <w:lang w:eastAsia="de-DE"/>
        </w:rPr>
        <w:t xml:space="preserve">ompetent authorities - cost of reporting, but lower </w:t>
      </w:r>
      <w:r w:rsidR="007D46A5" w:rsidRPr="00DA2290">
        <w:rPr>
          <w:rFonts w:ascii="Verdana" w:hAnsi="Verdana"/>
          <w:bCs/>
          <w:sz w:val="22"/>
          <w:szCs w:val="22"/>
          <w:lang w:eastAsia="de-DE"/>
        </w:rPr>
        <w:t xml:space="preserve">especially in the long term </w:t>
      </w:r>
      <w:r w:rsidR="006C3B31" w:rsidRPr="00DA2290">
        <w:rPr>
          <w:rFonts w:ascii="Verdana" w:hAnsi="Verdana"/>
          <w:bCs/>
          <w:sz w:val="22"/>
          <w:szCs w:val="22"/>
          <w:lang w:eastAsia="de-DE"/>
        </w:rPr>
        <w:t xml:space="preserve">than </w:t>
      </w:r>
      <w:r w:rsidR="007D46A5" w:rsidRPr="00DA2290">
        <w:rPr>
          <w:rFonts w:ascii="Verdana" w:hAnsi="Verdana"/>
          <w:bCs/>
          <w:sz w:val="22"/>
          <w:szCs w:val="22"/>
          <w:lang w:eastAsia="de-DE"/>
        </w:rPr>
        <w:t>under o</w:t>
      </w:r>
      <w:r w:rsidR="006C3B31" w:rsidRPr="00DA2290">
        <w:rPr>
          <w:rFonts w:ascii="Verdana" w:hAnsi="Verdana"/>
          <w:bCs/>
          <w:sz w:val="22"/>
          <w:szCs w:val="22"/>
          <w:lang w:eastAsia="de-DE"/>
        </w:rPr>
        <w:t xml:space="preserve">ption </w:t>
      </w:r>
      <w:r w:rsidR="001503CB" w:rsidRPr="00DA2290">
        <w:rPr>
          <w:rFonts w:ascii="Verdana" w:hAnsi="Verdana"/>
          <w:bCs/>
          <w:sz w:val="22"/>
          <w:szCs w:val="22"/>
          <w:lang w:eastAsia="de-DE"/>
        </w:rPr>
        <w:t>1.</w:t>
      </w:r>
      <w:r w:rsidR="006C3B31" w:rsidRPr="00DA2290">
        <w:rPr>
          <w:rFonts w:ascii="Verdana" w:hAnsi="Verdana"/>
          <w:bCs/>
          <w:sz w:val="22"/>
          <w:szCs w:val="22"/>
          <w:lang w:eastAsia="de-DE"/>
        </w:rPr>
        <w:t>1</w:t>
      </w:r>
      <w:r w:rsidR="00107A92" w:rsidRPr="00DA2290">
        <w:rPr>
          <w:rFonts w:ascii="Verdana" w:hAnsi="Verdana"/>
          <w:bCs/>
          <w:sz w:val="22"/>
          <w:szCs w:val="22"/>
          <w:lang w:eastAsia="de-DE"/>
        </w:rPr>
        <w:t xml:space="preserve">; first </w:t>
      </w:r>
      <w:r w:rsidR="00634B2A" w:rsidRPr="00DA2290">
        <w:rPr>
          <w:rFonts w:ascii="Verdana" w:hAnsi="Verdana"/>
          <w:bCs/>
          <w:sz w:val="22"/>
          <w:szCs w:val="22"/>
          <w:lang w:eastAsia="de-DE"/>
        </w:rPr>
        <w:t xml:space="preserve">transmission </w:t>
      </w:r>
      <w:r w:rsidR="00107A92" w:rsidRPr="00DA2290">
        <w:rPr>
          <w:rFonts w:ascii="Verdana" w:hAnsi="Verdana"/>
          <w:bCs/>
          <w:sz w:val="22"/>
          <w:szCs w:val="22"/>
          <w:lang w:eastAsia="de-DE"/>
        </w:rPr>
        <w:t>may be more difficult</w:t>
      </w:r>
      <w:r w:rsidR="00762BC8" w:rsidRPr="00DA2290">
        <w:rPr>
          <w:rFonts w:ascii="Verdana" w:hAnsi="Verdana"/>
          <w:bCs/>
          <w:sz w:val="22"/>
          <w:szCs w:val="22"/>
          <w:lang w:eastAsia="de-DE"/>
        </w:rPr>
        <w:t xml:space="preserve"> than under option </w:t>
      </w:r>
      <w:r w:rsidR="001503CB" w:rsidRPr="00DA2290">
        <w:rPr>
          <w:rFonts w:ascii="Verdana" w:hAnsi="Verdana"/>
          <w:bCs/>
          <w:sz w:val="22"/>
          <w:szCs w:val="22"/>
          <w:lang w:eastAsia="de-DE"/>
        </w:rPr>
        <w:t>1.</w:t>
      </w:r>
      <w:r w:rsidR="00762BC8" w:rsidRPr="00DA2290">
        <w:rPr>
          <w:rFonts w:ascii="Verdana" w:hAnsi="Verdana"/>
          <w:bCs/>
          <w:sz w:val="22"/>
          <w:szCs w:val="22"/>
          <w:lang w:eastAsia="de-DE"/>
        </w:rPr>
        <w:t>1</w:t>
      </w:r>
      <w:r w:rsidRPr="00DA2290">
        <w:rPr>
          <w:rFonts w:ascii="Verdana" w:hAnsi="Verdana"/>
          <w:bCs/>
          <w:sz w:val="22"/>
          <w:szCs w:val="22"/>
          <w:lang w:eastAsia="de-DE"/>
        </w:rPr>
        <w:t>.</w:t>
      </w:r>
    </w:p>
    <w:p w:rsidR="006C3B31" w:rsidRPr="00DA2290" w:rsidRDefault="006C3B31"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 xml:space="preserve">IORPs and sponsoring undertakings - potential increased costs in fees/contributions but less than under option </w:t>
      </w:r>
      <w:r w:rsidR="001503CB" w:rsidRPr="00DA2290">
        <w:rPr>
          <w:rFonts w:ascii="Verdana" w:hAnsi="Verdana"/>
          <w:bCs/>
          <w:sz w:val="22"/>
          <w:szCs w:val="22"/>
          <w:lang w:eastAsia="de-DE"/>
        </w:rPr>
        <w:t>1.</w:t>
      </w:r>
      <w:r w:rsidRPr="00DA2290">
        <w:rPr>
          <w:rFonts w:ascii="Verdana" w:hAnsi="Verdana"/>
          <w:bCs/>
          <w:sz w:val="22"/>
          <w:szCs w:val="22"/>
          <w:lang w:eastAsia="de-DE"/>
        </w:rPr>
        <w:t>1</w:t>
      </w:r>
      <w:r w:rsidR="00545C92" w:rsidRPr="00DA2290">
        <w:rPr>
          <w:rFonts w:ascii="Verdana" w:hAnsi="Verdana"/>
          <w:bCs/>
          <w:sz w:val="22"/>
          <w:szCs w:val="22"/>
          <w:lang w:eastAsia="de-DE"/>
        </w:rPr>
        <w:t>.</w:t>
      </w:r>
      <w:r w:rsidRPr="00DA2290">
        <w:rPr>
          <w:rFonts w:ascii="Verdana" w:hAnsi="Verdana"/>
          <w:bCs/>
          <w:sz w:val="22"/>
          <w:szCs w:val="22"/>
          <w:lang w:eastAsia="de-DE"/>
        </w:rPr>
        <w:t xml:space="preserve"> </w:t>
      </w:r>
    </w:p>
    <w:p w:rsidR="006C3B31" w:rsidRPr="00DA2290" w:rsidRDefault="0049595B" w:rsidP="0057462F">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M</w:t>
      </w:r>
      <w:r w:rsidR="006C3B31" w:rsidRPr="00DA2290">
        <w:rPr>
          <w:rFonts w:ascii="Verdana" w:hAnsi="Verdana"/>
          <w:bCs/>
          <w:sz w:val="22"/>
          <w:szCs w:val="22"/>
          <w:lang w:eastAsia="de-DE"/>
        </w:rPr>
        <w:t>embers and beneficiaries - potential increased regulation costs that could impact on members’ and beneficiaries’ benefits but less than under option 1</w:t>
      </w:r>
      <w:r w:rsidR="001503CB" w:rsidRPr="00DA2290">
        <w:rPr>
          <w:rFonts w:ascii="Verdana" w:hAnsi="Verdana"/>
          <w:bCs/>
          <w:sz w:val="22"/>
          <w:szCs w:val="22"/>
          <w:lang w:eastAsia="de-DE"/>
        </w:rPr>
        <w:t>.1</w:t>
      </w:r>
      <w:r w:rsidR="006C3B31" w:rsidRPr="00DA2290">
        <w:rPr>
          <w:rFonts w:ascii="Verdana" w:hAnsi="Verdana"/>
          <w:bCs/>
          <w:sz w:val="22"/>
          <w:szCs w:val="22"/>
          <w:lang w:eastAsia="de-DE"/>
        </w:rPr>
        <w:t>.</w:t>
      </w:r>
    </w:p>
    <w:p w:rsidR="00543BC2" w:rsidRPr="00DA2290" w:rsidRDefault="00543BC2" w:rsidP="00543BC2">
      <w:pPr>
        <w:tabs>
          <w:tab w:val="left" w:pos="993"/>
        </w:tabs>
        <w:spacing w:line="276" w:lineRule="auto"/>
        <w:jc w:val="both"/>
        <w:rPr>
          <w:rFonts w:ascii="Verdana" w:hAnsi="Verdana"/>
          <w:bCs/>
          <w:sz w:val="22"/>
          <w:szCs w:val="22"/>
          <w:lang w:eastAsia="de-DE"/>
        </w:rPr>
      </w:pPr>
    </w:p>
    <w:tbl>
      <w:tblPr>
        <w:tblW w:w="10207" w:type="dxa"/>
        <w:tblInd w:w="-356" w:type="dxa"/>
        <w:tblLayout w:type="fixed"/>
        <w:tblCellMar>
          <w:left w:w="70" w:type="dxa"/>
          <w:right w:w="70" w:type="dxa"/>
        </w:tblCellMar>
        <w:tblLook w:val="00A0" w:firstRow="1" w:lastRow="0" w:firstColumn="1" w:lastColumn="0" w:noHBand="0" w:noVBand="0"/>
      </w:tblPr>
      <w:tblGrid>
        <w:gridCol w:w="1710"/>
        <w:gridCol w:w="1693"/>
        <w:gridCol w:w="3070"/>
        <w:gridCol w:w="1139"/>
        <w:gridCol w:w="854"/>
        <w:gridCol w:w="933"/>
        <w:gridCol w:w="808"/>
      </w:tblGrid>
      <w:tr w:rsidR="00DF795E" w:rsidRPr="00DA2290" w:rsidTr="00FA6BBE">
        <w:trPr>
          <w:trHeight w:val="426"/>
        </w:trPr>
        <w:tc>
          <w:tcPr>
            <w:tcW w:w="1710" w:type="dxa"/>
            <w:vMerge w:val="restart"/>
            <w:tcBorders>
              <w:top w:val="single" w:sz="4" w:space="0" w:color="auto"/>
              <w:left w:val="single" w:sz="4" w:space="0" w:color="auto"/>
              <w:right w:val="single" w:sz="4" w:space="0" w:color="auto"/>
            </w:tcBorders>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Policy Options</w:t>
            </w:r>
          </w:p>
          <w:p w:rsidR="00DF795E" w:rsidRPr="00DA2290" w:rsidRDefault="00DF795E" w:rsidP="00DF795E">
            <w:pPr>
              <w:jc w:val="center"/>
              <w:rPr>
                <w:rFonts w:ascii="Verdana" w:eastAsiaTheme="minorHAnsi" w:hAnsi="Verdana" w:cstheme="minorBidi"/>
                <w:b/>
                <w:bCs/>
                <w:sz w:val="16"/>
                <w:szCs w:val="16"/>
                <w:lang w:eastAsia="sk-SK"/>
              </w:rPr>
            </w:pPr>
            <w:r w:rsidRPr="00DA2290">
              <w:rPr>
                <w:rFonts w:ascii="Verdana" w:hAnsi="Verdana" w:cs="Arial"/>
                <w:b/>
                <w:bCs/>
                <w:sz w:val="16"/>
                <w:szCs w:val="16"/>
                <w:lang w:eastAsia="sk-SK"/>
              </w:rPr>
              <w:t>Set 1</w:t>
            </w:r>
          </w:p>
        </w:tc>
        <w:tc>
          <w:tcPr>
            <w:tcW w:w="1693" w:type="dxa"/>
            <w:vMerge w:val="restart"/>
            <w:tcBorders>
              <w:top w:val="single" w:sz="4" w:space="0" w:color="auto"/>
              <w:left w:val="single" w:sz="4" w:space="0" w:color="auto"/>
              <w:right w:val="nil"/>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Party Affected</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b/>
                <w:bCs/>
                <w:sz w:val="16"/>
                <w:szCs w:val="16"/>
                <w:lang w:eastAsia="sk-SK"/>
              </w:rPr>
              <w:t>Impact</w:t>
            </w:r>
          </w:p>
        </w:tc>
      </w:tr>
      <w:tr w:rsidR="00DF795E" w:rsidRPr="00DA2290" w:rsidTr="00FA6BBE">
        <w:trPr>
          <w:trHeight w:val="426"/>
        </w:trPr>
        <w:tc>
          <w:tcPr>
            <w:tcW w:w="1710" w:type="dxa"/>
            <w:vMerge/>
            <w:tcBorders>
              <w:left w:val="single" w:sz="4" w:space="0" w:color="auto"/>
              <w:right w:val="single" w:sz="4" w:space="0" w:color="auto"/>
            </w:tcBorders>
            <w:vAlign w:val="center"/>
          </w:tcPr>
          <w:p w:rsidR="00DF795E" w:rsidRPr="00DA2290" w:rsidRDefault="00DF795E" w:rsidP="00DF795E">
            <w:pPr>
              <w:rPr>
                <w:rFonts w:ascii="Verdana" w:eastAsiaTheme="minorHAnsi" w:hAnsi="Verdana" w:cstheme="minorBidi"/>
                <w:b/>
                <w:bCs/>
                <w:sz w:val="16"/>
                <w:szCs w:val="16"/>
                <w:lang w:eastAsia="sk-SK"/>
              </w:rPr>
            </w:pPr>
          </w:p>
        </w:tc>
        <w:tc>
          <w:tcPr>
            <w:tcW w:w="1693" w:type="dxa"/>
            <w:vMerge/>
            <w:tcBorders>
              <w:left w:val="single" w:sz="4" w:space="0" w:color="auto"/>
              <w:bottom w:val="single" w:sz="4" w:space="0" w:color="auto"/>
              <w:right w:val="nil"/>
            </w:tcBorders>
            <w:noWrap/>
            <w:vAlign w:val="center"/>
          </w:tcPr>
          <w:p w:rsidR="00DF795E" w:rsidRPr="00DA2290" w:rsidRDefault="00DF795E" w:rsidP="00DF795E">
            <w:pPr>
              <w:jc w:val="center"/>
              <w:rPr>
                <w:rFonts w:ascii="Verdana" w:hAnsi="Verdana" w:cs="Arial"/>
                <w:b/>
                <w:bCs/>
                <w:sz w:val="16"/>
                <w:szCs w:val="16"/>
                <w:lang w:eastAsia="sk-SK"/>
              </w:rPr>
            </w:pPr>
          </w:p>
        </w:tc>
        <w:tc>
          <w:tcPr>
            <w:tcW w:w="3070"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Description</w:t>
            </w:r>
          </w:p>
        </w:tc>
        <w:tc>
          <w:tcPr>
            <w:tcW w:w="1139"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 xml:space="preserve">Type of Impact </w:t>
            </w:r>
            <w:r w:rsidRPr="00DA2290">
              <w:rPr>
                <w:rFonts w:ascii="Verdana" w:hAnsi="Verdana" w:cs="Arial"/>
                <w:sz w:val="16"/>
                <w:szCs w:val="16"/>
                <w:lang w:eastAsia="sk-SK"/>
              </w:rPr>
              <w:t>(Direct/ Indirect)</w:t>
            </w:r>
          </w:p>
        </w:tc>
        <w:tc>
          <w:tcPr>
            <w:tcW w:w="854"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FE618E">
            <w:pPr>
              <w:jc w:val="center"/>
              <w:rPr>
                <w:rFonts w:ascii="Verdana" w:hAnsi="Verdana" w:cs="Arial"/>
                <w:sz w:val="16"/>
                <w:szCs w:val="16"/>
                <w:lang w:eastAsia="sk-SK"/>
              </w:rPr>
            </w:pPr>
            <w:r w:rsidRPr="00DA2290">
              <w:rPr>
                <w:rFonts w:ascii="Verdana" w:hAnsi="Verdana" w:cs="Arial"/>
                <w:b/>
                <w:bCs/>
                <w:sz w:val="16"/>
                <w:szCs w:val="16"/>
                <w:lang w:eastAsia="sk-SK"/>
              </w:rPr>
              <w:t>Effect</w:t>
            </w:r>
            <w:r w:rsidRPr="00DA2290">
              <w:rPr>
                <w:rFonts w:ascii="Verdana" w:hAnsi="Verdana" w:cs="Arial"/>
                <w:sz w:val="16"/>
                <w:szCs w:val="16"/>
                <w:lang w:eastAsia="sk-SK"/>
              </w:rPr>
              <w:t xml:space="preserve"> (-/</w:t>
            </w:r>
            <w:r w:rsidR="00FE618E" w:rsidRPr="00DA2290">
              <w:rPr>
                <w:rFonts w:ascii="Verdana" w:hAnsi="Verdana" w:cs="Arial"/>
                <w:sz w:val="16"/>
                <w:szCs w:val="16"/>
                <w:lang w:eastAsia="sk-SK"/>
              </w:rPr>
              <w:t>0</w:t>
            </w:r>
            <w:r w:rsidRPr="00DA2290">
              <w:rPr>
                <w:rFonts w:ascii="Verdana" w:hAnsi="Verdana" w:cs="Arial"/>
                <w:sz w:val="16"/>
                <w:szCs w:val="16"/>
                <w:lang w:eastAsia="sk-SK"/>
              </w:rPr>
              <w:t>/+)</w:t>
            </w:r>
          </w:p>
        </w:tc>
        <w:tc>
          <w:tcPr>
            <w:tcW w:w="93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Likelihood of Impact</w:t>
            </w:r>
            <w:r w:rsidRPr="00DA2290">
              <w:rPr>
                <w:rFonts w:ascii="Verdana" w:hAnsi="Verdana" w:cs="Arial"/>
                <w:sz w:val="16"/>
                <w:szCs w:val="16"/>
                <w:lang w:eastAsia="sk-SK"/>
              </w:rPr>
              <w:t xml:space="preserve"> (L/M/H)</w:t>
            </w:r>
            <w:r w:rsidRPr="00DA2290">
              <w:rPr>
                <w:rFonts w:ascii="Verdana" w:hAnsi="Verdana" w:cs="Arial"/>
                <w:sz w:val="16"/>
                <w:szCs w:val="16"/>
                <w:vertAlign w:val="superscript"/>
                <w:lang w:eastAsia="sk-SK"/>
              </w:rPr>
              <w:footnoteReference w:id="9"/>
            </w:r>
          </w:p>
        </w:tc>
        <w:tc>
          <w:tcPr>
            <w:tcW w:w="808"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Timing of Impact</w:t>
            </w:r>
            <w:r w:rsidRPr="00DA2290">
              <w:rPr>
                <w:rFonts w:ascii="Verdana" w:hAnsi="Verdana" w:cs="Arial"/>
                <w:sz w:val="16"/>
                <w:szCs w:val="16"/>
                <w:lang w:eastAsia="sk-SK"/>
              </w:rPr>
              <w:t xml:space="preserve"> (S/L/P)</w:t>
            </w:r>
            <w:r w:rsidRPr="00DA2290">
              <w:rPr>
                <w:rFonts w:ascii="Verdana" w:hAnsi="Verdana" w:cs="Arial"/>
                <w:sz w:val="16"/>
                <w:szCs w:val="16"/>
                <w:vertAlign w:val="superscript"/>
                <w:lang w:eastAsia="sk-SK"/>
              </w:rPr>
              <w:footnoteReference w:id="10"/>
            </w:r>
          </w:p>
        </w:tc>
      </w:tr>
      <w:tr w:rsidR="00DF795E" w:rsidRPr="00DA2290" w:rsidTr="00246A2E">
        <w:trPr>
          <w:trHeight w:hRule="exact" w:val="1857"/>
        </w:trPr>
        <w:tc>
          <w:tcPr>
            <w:tcW w:w="1710" w:type="dxa"/>
            <w:vMerge w:val="restart"/>
            <w:tcBorders>
              <w:top w:val="single" w:sz="4" w:space="0" w:color="auto"/>
              <w:left w:val="single" w:sz="4" w:space="0" w:color="auto"/>
              <w:right w:val="single" w:sz="4" w:space="0" w:color="auto"/>
            </w:tcBorders>
          </w:tcPr>
          <w:p w:rsidR="00DF795E" w:rsidRPr="00DA2290" w:rsidRDefault="00DF795E" w:rsidP="00DF795E">
            <w:pPr>
              <w:rPr>
                <w:rFonts w:ascii="Verdana" w:eastAsiaTheme="minorHAnsi" w:hAnsi="Verdana" w:cstheme="minorBidi"/>
                <w:b/>
                <w:bCs/>
                <w:sz w:val="16"/>
                <w:szCs w:val="16"/>
                <w:lang w:eastAsia="sk-SK"/>
              </w:rPr>
            </w:pPr>
          </w:p>
          <w:p w:rsidR="00DF795E" w:rsidRPr="00DA2290" w:rsidRDefault="00DF795E" w:rsidP="00DF795E">
            <w:pPr>
              <w:rPr>
                <w:rFonts w:ascii="Verdana" w:eastAsiaTheme="minorHAnsi" w:hAnsi="Verdana" w:cstheme="minorBidi"/>
                <w:b/>
                <w:bCs/>
                <w:sz w:val="16"/>
                <w:szCs w:val="16"/>
                <w:lang w:eastAsia="sk-SK"/>
              </w:rPr>
            </w:pPr>
            <w:r w:rsidRPr="00DA2290">
              <w:rPr>
                <w:rFonts w:ascii="Verdana" w:eastAsiaTheme="minorHAnsi" w:hAnsi="Verdana" w:cstheme="minorBidi"/>
                <w:b/>
                <w:bCs/>
                <w:sz w:val="16"/>
                <w:szCs w:val="16"/>
                <w:lang w:eastAsia="sk-SK"/>
              </w:rPr>
              <w:t>Option 1</w:t>
            </w:r>
            <w:r w:rsidR="007A070D" w:rsidRPr="00DA2290">
              <w:rPr>
                <w:rFonts w:ascii="Verdana" w:eastAsiaTheme="minorHAnsi" w:hAnsi="Verdana" w:cstheme="minorBidi"/>
                <w:b/>
                <w:bCs/>
                <w:sz w:val="16"/>
                <w:szCs w:val="16"/>
                <w:lang w:eastAsia="sk-SK"/>
              </w:rPr>
              <w:t>.1</w:t>
            </w:r>
            <w:r w:rsidRPr="00DA2290">
              <w:rPr>
                <w:rFonts w:ascii="Verdana" w:eastAsiaTheme="minorHAnsi" w:hAnsi="Verdana" w:cstheme="minorBidi"/>
                <w:b/>
                <w:bCs/>
                <w:sz w:val="16"/>
                <w:szCs w:val="16"/>
                <w:lang w:eastAsia="sk-SK"/>
              </w:rPr>
              <w:t xml:space="preserve">: </w:t>
            </w:r>
          </w:p>
          <w:p w:rsidR="00DF795E" w:rsidRPr="00DA2290" w:rsidRDefault="00DF795E" w:rsidP="00DF795E">
            <w:pPr>
              <w:rPr>
                <w:rFonts w:ascii="Verdana" w:eastAsiaTheme="minorHAnsi" w:hAnsi="Verdana" w:cstheme="minorBidi"/>
                <w:b/>
                <w:bCs/>
                <w:sz w:val="16"/>
                <w:szCs w:val="16"/>
                <w:lang w:eastAsia="sk-SK"/>
              </w:rPr>
            </w:pPr>
          </w:p>
          <w:p w:rsidR="00DF795E" w:rsidRPr="00DA2290" w:rsidRDefault="00DF795E" w:rsidP="00DF795E">
            <w:pPr>
              <w:rPr>
                <w:rFonts w:ascii="Verdana" w:hAnsi="Verdana"/>
                <w:b/>
                <w:bCs/>
                <w:sz w:val="16"/>
                <w:szCs w:val="16"/>
                <w:lang w:eastAsia="sk-SK"/>
              </w:rPr>
            </w:pPr>
            <w:r w:rsidRPr="00DA2290">
              <w:rPr>
                <w:rFonts w:ascii="Verdana" w:hAnsi="Verdana"/>
                <w:sz w:val="16"/>
                <w:szCs w:val="16"/>
              </w:rPr>
              <w:t xml:space="preserve">MS to report to EIOPA national provisions of prudential nature </w:t>
            </w:r>
            <w:r w:rsidRPr="00DA2290">
              <w:rPr>
                <w:rFonts w:ascii="Verdana" w:hAnsi="Verdana"/>
                <w:color w:val="000000"/>
                <w:sz w:val="16"/>
                <w:szCs w:val="16"/>
              </w:rPr>
              <w:t>relevant to the field of occupational pension schemes</w:t>
            </w:r>
            <w:r w:rsidRPr="00DA2290">
              <w:rPr>
                <w:color w:val="000000"/>
                <w:sz w:val="19"/>
                <w:szCs w:val="19"/>
              </w:rPr>
              <w:t xml:space="preserve"> </w:t>
            </w:r>
            <w:r w:rsidRPr="00DA2290">
              <w:rPr>
                <w:rFonts w:ascii="Verdana" w:hAnsi="Verdana"/>
                <w:sz w:val="16"/>
                <w:szCs w:val="16"/>
              </w:rPr>
              <w:t xml:space="preserve"> </w:t>
            </w:r>
            <w:r w:rsidRPr="00DA2290">
              <w:rPr>
                <w:rFonts w:ascii="Verdana" w:hAnsi="Verdana"/>
                <w:b/>
                <w:sz w:val="16"/>
                <w:szCs w:val="16"/>
              </w:rPr>
              <w:t>not in a uniform way (no fixed structure of the template)</w:t>
            </w:r>
          </w:p>
        </w:tc>
        <w:tc>
          <w:tcPr>
            <w:tcW w:w="1693" w:type="dxa"/>
            <w:tcBorders>
              <w:top w:val="single" w:sz="4" w:space="0" w:color="auto"/>
              <w:left w:val="single" w:sz="4" w:space="0" w:color="auto"/>
              <w:bottom w:val="single" w:sz="4" w:space="0" w:color="auto"/>
              <w:right w:val="nil"/>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Members &amp;</w:t>
            </w:r>
          </w:p>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Beneficiaries</w:t>
            </w:r>
          </w:p>
        </w:tc>
        <w:tc>
          <w:tcPr>
            <w:tcW w:w="3070"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6"/>
                <w:szCs w:val="16"/>
                <w:lang w:eastAsia="sk-SK"/>
              </w:rPr>
            </w:pPr>
          </w:p>
          <w:p w:rsidR="00DF795E" w:rsidRPr="00DA2290" w:rsidRDefault="00DA2290" w:rsidP="00DF795E">
            <w:pPr>
              <w:jc w:val="center"/>
              <w:rPr>
                <w:rFonts w:ascii="Verdana" w:hAnsi="Verdana" w:cs="Arial"/>
                <w:sz w:val="16"/>
                <w:szCs w:val="16"/>
                <w:lang w:eastAsia="sk-SK"/>
              </w:rPr>
            </w:pPr>
            <w:r w:rsidRPr="00DA2290">
              <w:rPr>
                <w:rFonts w:ascii="Verdana" w:hAnsi="Verdana" w:cs="Arial"/>
                <w:sz w:val="16"/>
                <w:szCs w:val="16"/>
                <w:lang w:eastAsia="sk-SK"/>
              </w:rPr>
              <w:t>Members’</w:t>
            </w:r>
            <w:r w:rsidR="00FE618E" w:rsidRPr="00DA2290">
              <w:rPr>
                <w:rFonts w:ascii="Verdana" w:hAnsi="Verdana" w:cs="Arial"/>
                <w:sz w:val="16"/>
                <w:szCs w:val="16"/>
                <w:lang w:eastAsia="sk-SK"/>
              </w:rPr>
              <w:t xml:space="preserve"> benefits </w:t>
            </w:r>
            <w:r w:rsidR="00DF795E" w:rsidRPr="00DA2290">
              <w:rPr>
                <w:rFonts w:ascii="Verdana" w:hAnsi="Verdana" w:cs="Arial"/>
                <w:sz w:val="16"/>
                <w:szCs w:val="16"/>
                <w:lang w:eastAsia="sk-SK"/>
              </w:rPr>
              <w:t>indirectly affected only if CAs pass on the costs to IORPs</w:t>
            </w:r>
            <w:r w:rsidR="00FE618E" w:rsidRPr="00DA2290">
              <w:rPr>
                <w:rFonts w:ascii="Verdana" w:hAnsi="Verdana" w:cs="Arial"/>
                <w:sz w:val="16"/>
                <w:szCs w:val="16"/>
                <w:lang w:eastAsia="sk-SK"/>
              </w:rPr>
              <w: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Transparency of national provisions of prudential nature</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Comparability</w:t>
            </w:r>
            <w:r w:rsidR="00DA2290">
              <w:rPr>
                <w:rFonts w:ascii="Verdana" w:hAnsi="Verdana" w:cs="Arial"/>
                <w:sz w:val="16"/>
                <w:szCs w:val="16"/>
                <w:lang w:eastAsia="sk-SK"/>
              </w:rPr>
              <w:t xml:space="preserve"> </w:t>
            </w:r>
          </w:p>
          <w:p w:rsidR="00DF795E" w:rsidRPr="00DA2290" w:rsidRDefault="00DF795E" w:rsidP="00DF795E">
            <w:pPr>
              <w:jc w:val="center"/>
              <w:rPr>
                <w:rFonts w:ascii="Verdana" w:hAnsi="Verdana" w:cs="Arial"/>
                <w:sz w:val="16"/>
                <w:szCs w:val="16"/>
                <w:lang w:eastAsia="sk-SK"/>
              </w:rPr>
            </w:pPr>
          </w:p>
        </w:tc>
        <w:tc>
          <w:tcPr>
            <w:tcW w:w="1139"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Indirect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4"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FE618E" w:rsidP="00DF795E">
            <w:pPr>
              <w:jc w:val="center"/>
              <w:rPr>
                <w:rFonts w:ascii="Verdana" w:hAnsi="Verdana" w:cs="Arial"/>
                <w:sz w:val="16"/>
                <w:szCs w:val="16"/>
                <w:lang w:eastAsia="sk-SK"/>
              </w:rPr>
            </w:pPr>
            <w:r w:rsidRPr="00DA2290">
              <w:rPr>
                <w:rFonts w:ascii="Verdana" w:hAnsi="Verdana" w:cs="Arial"/>
                <w:sz w:val="16"/>
                <w:szCs w:val="16"/>
                <w:lang w:eastAsia="sk-SK"/>
              </w:rPr>
              <w:t>0</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FE618E" w:rsidP="00DF795E">
            <w:pPr>
              <w:jc w:val="center"/>
              <w:rPr>
                <w:rFonts w:ascii="Verdana" w:hAnsi="Verdana" w:cs="Arial"/>
                <w:sz w:val="16"/>
                <w:szCs w:val="16"/>
                <w:lang w:eastAsia="sk-SK"/>
              </w:rPr>
            </w:pPr>
            <w:r w:rsidRPr="00DA2290">
              <w:rPr>
                <w:rFonts w:ascii="Verdana" w:hAnsi="Verdana" w:cs="Arial"/>
                <w:sz w:val="16"/>
                <w:szCs w:val="16"/>
                <w:lang w:eastAsia="sk-SK"/>
              </w:rPr>
              <w:t>0</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93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M</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tc>
        <w:tc>
          <w:tcPr>
            <w:tcW w:w="808"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r>
      <w:tr w:rsidR="00DF795E" w:rsidRPr="00DA2290" w:rsidTr="00FA6BBE">
        <w:trPr>
          <w:trHeight w:hRule="exact" w:val="1985"/>
        </w:trPr>
        <w:tc>
          <w:tcPr>
            <w:tcW w:w="1710" w:type="dxa"/>
            <w:vMerge/>
            <w:tcBorders>
              <w:left w:val="single" w:sz="4" w:space="0" w:color="auto"/>
              <w:bottom w:val="nil"/>
              <w:right w:val="single" w:sz="4" w:space="0" w:color="auto"/>
            </w:tcBorders>
            <w:vAlign w:val="center"/>
          </w:tcPr>
          <w:p w:rsidR="00DF795E" w:rsidRPr="00DA2290" w:rsidRDefault="00DF795E" w:rsidP="00DF795E">
            <w:pP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nil"/>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IORPs and sponsoring undertakings</w:t>
            </w:r>
          </w:p>
        </w:tc>
        <w:tc>
          <w:tcPr>
            <w:tcW w:w="3070"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Levy fees/contributions collected by CAs may increase as a result of reporting requirements</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Transparency of national provisions of prudential nature</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Comparability</w:t>
            </w:r>
          </w:p>
        </w:tc>
        <w:tc>
          <w:tcPr>
            <w:tcW w:w="1139"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Indirect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4"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FE618E" w:rsidP="00DF795E">
            <w:pPr>
              <w:jc w:val="center"/>
              <w:rPr>
                <w:rFonts w:ascii="Verdana" w:hAnsi="Verdana" w:cs="Arial"/>
                <w:sz w:val="16"/>
                <w:szCs w:val="16"/>
                <w:lang w:eastAsia="sk-SK"/>
              </w:rPr>
            </w:pPr>
            <w:r w:rsidRPr="00DA2290">
              <w:rPr>
                <w:rFonts w:ascii="Verdana" w:hAnsi="Verdana" w:cs="Arial"/>
                <w:sz w:val="16"/>
                <w:szCs w:val="16"/>
                <w:lang w:eastAsia="sk-SK"/>
              </w:rPr>
              <w:t>0</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FE618E" w:rsidP="00DF795E">
            <w:pPr>
              <w:jc w:val="center"/>
              <w:rPr>
                <w:rFonts w:ascii="Verdana" w:hAnsi="Verdana" w:cs="Arial"/>
                <w:sz w:val="16"/>
                <w:szCs w:val="16"/>
                <w:lang w:eastAsia="sk-SK"/>
              </w:rPr>
            </w:pPr>
            <w:r w:rsidRPr="00DA2290">
              <w:rPr>
                <w:rFonts w:ascii="Verdana" w:hAnsi="Verdana" w:cs="Arial"/>
                <w:sz w:val="16"/>
                <w:szCs w:val="16"/>
                <w:lang w:eastAsia="sk-SK"/>
              </w:rPr>
              <w:t>0</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93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M</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tc>
        <w:tc>
          <w:tcPr>
            <w:tcW w:w="808"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r>
      <w:tr w:rsidR="00DF795E" w:rsidRPr="00DA2290" w:rsidTr="00FA6BBE">
        <w:trPr>
          <w:trHeight w:hRule="exact" w:val="885"/>
        </w:trPr>
        <w:tc>
          <w:tcPr>
            <w:tcW w:w="1710" w:type="dxa"/>
            <w:vMerge/>
            <w:tcBorders>
              <w:left w:val="single" w:sz="4" w:space="0" w:color="auto"/>
              <w:bottom w:val="nil"/>
              <w:right w:val="single" w:sz="4" w:space="0" w:color="auto"/>
            </w:tcBorders>
            <w:vAlign w:val="center"/>
          </w:tcPr>
          <w:p w:rsidR="00DF795E" w:rsidRPr="00DA2290" w:rsidRDefault="00DF795E" w:rsidP="00DF795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Competent</w:t>
            </w:r>
          </w:p>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authorities</w:t>
            </w:r>
          </w:p>
        </w:tc>
        <w:tc>
          <w:tcPr>
            <w:tcW w:w="3070" w:type="dxa"/>
            <w:tcBorders>
              <w:top w:val="single" w:sz="4" w:space="0" w:color="auto"/>
              <w:left w:val="single" w:sz="4" w:space="0" w:color="auto"/>
              <w:right w:val="single" w:sz="4" w:space="0" w:color="auto"/>
            </w:tcBorders>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The responsibility for the initial, annual and voluntary transmission</w:t>
            </w:r>
          </w:p>
        </w:tc>
        <w:tc>
          <w:tcPr>
            <w:tcW w:w="1139" w:type="dxa"/>
            <w:tcBorders>
              <w:top w:val="single" w:sz="4" w:space="0" w:color="auto"/>
              <w:left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4" w:type="dxa"/>
            <w:tcBorders>
              <w:top w:val="single" w:sz="4" w:space="0" w:color="auto"/>
              <w:left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933" w:type="dxa"/>
            <w:tcBorders>
              <w:top w:val="single" w:sz="4" w:space="0" w:color="auto"/>
              <w:left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H</w:t>
            </w:r>
          </w:p>
        </w:tc>
        <w:tc>
          <w:tcPr>
            <w:tcW w:w="808" w:type="dxa"/>
            <w:tcBorders>
              <w:top w:val="single" w:sz="4" w:space="0" w:color="auto"/>
              <w:left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P</w:t>
            </w:r>
          </w:p>
        </w:tc>
      </w:tr>
      <w:tr w:rsidR="00DF795E" w:rsidRPr="00DA2290" w:rsidTr="00FA6BBE">
        <w:trPr>
          <w:trHeight w:hRule="exact" w:val="885"/>
        </w:trPr>
        <w:tc>
          <w:tcPr>
            <w:tcW w:w="1710" w:type="dxa"/>
            <w:vMerge/>
            <w:tcBorders>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EIOPA</w:t>
            </w:r>
          </w:p>
        </w:tc>
        <w:tc>
          <w:tcPr>
            <w:tcW w:w="3070" w:type="dxa"/>
            <w:tcBorders>
              <w:top w:val="single" w:sz="4" w:space="0" w:color="auto"/>
              <w:left w:val="nil"/>
              <w:bottom w:val="single" w:sz="4" w:space="0" w:color="auto"/>
              <w:right w:val="single" w:sz="4" w:space="0" w:color="auto"/>
            </w:tcBorders>
            <w:vAlign w:val="center"/>
          </w:tcPr>
          <w:p w:rsidR="00DF795E" w:rsidRPr="00DA2290" w:rsidRDefault="00DF795E" w:rsidP="007B1873">
            <w:pPr>
              <w:jc w:val="center"/>
              <w:rPr>
                <w:rFonts w:ascii="Verdana" w:hAnsi="Verdana" w:cs="Arial"/>
                <w:sz w:val="16"/>
                <w:szCs w:val="16"/>
                <w:lang w:eastAsia="sk-SK"/>
              </w:rPr>
            </w:pPr>
            <w:r w:rsidRPr="00DA2290">
              <w:rPr>
                <w:rFonts w:ascii="Verdana" w:hAnsi="Verdana" w:cs="Arial"/>
                <w:sz w:val="16"/>
                <w:szCs w:val="16"/>
                <w:lang w:eastAsia="sk-SK"/>
              </w:rPr>
              <w:t>Collecting and publishing the reported material on the website</w:t>
            </w:r>
          </w:p>
        </w:tc>
        <w:tc>
          <w:tcPr>
            <w:tcW w:w="1139" w:type="dxa"/>
            <w:tcBorders>
              <w:top w:val="single" w:sz="4" w:space="0" w:color="auto"/>
              <w:left w:val="nil"/>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4" w:type="dxa"/>
            <w:tcBorders>
              <w:top w:val="single" w:sz="4" w:space="0" w:color="auto"/>
              <w:left w:val="nil"/>
              <w:bottom w:val="single" w:sz="4" w:space="0" w:color="auto"/>
              <w:right w:val="single" w:sz="4" w:space="0" w:color="auto"/>
            </w:tcBorders>
            <w:noWrap/>
            <w:vAlign w:val="center"/>
          </w:tcPr>
          <w:p w:rsidR="00DF795E" w:rsidRPr="00DA2290" w:rsidRDefault="00FE618E" w:rsidP="00DF795E">
            <w:pPr>
              <w:jc w:val="center"/>
              <w:rPr>
                <w:rFonts w:ascii="Verdana" w:hAnsi="Verdana" w:cs="Arial"/>
                <w:sz w:val="16"/>
                <w:szCs w:val="16"/>
                <w:lang w:eastAsia="sk-SK"/>
              </w:rPr>
            </w:pPr>
            <w:r w:rsidRPr="00DA2290">
              <w:rPr>
                <w:rFonts w:ascii="Verdana" w:hAnsi="Verdana" w:cs="Arial"/>
                <w:sz w:val="16"/>
                <w:szCs w:val="16"/>
                <w:lang w:eastAsia="sk-SK"/>
              </w:rPr>
              <w:t>0</w:t>
            </w:r>
          </w:p>
        </w:tc>
        <w:tc>
          <w:tcPr>
            <w:tcW w:w="933" w:type="dxa"/>
            <w:tcBorders>
              <w:top w:val="single" w:sz="4" w:space="0" w:color="auto"/>
              <w:left w:val="nil"/>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H</w:t>
            </w:r>
          </w:p>
        </w:tc>
        <w:tc>
          <w:tcPr>
            <w:tcW w:w="808" w:type="dxa"/>
            <w:tcBorders>
              <w:top w:val="single" w:sz="4" w:space="0" w:color="auto"/>
              <w:left w:val="nil"/>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P</w:t>
            </w:r>
          </w:p>
        </w:tc>
      </w:tr>
      <w:tr w:rsidR="00DF795E" w:rsidRPr="00DA2290" w:rsidTr="00FA6BBE">
        <w:trPr>
          <w:trHeight w:hRule="exact" w:val="1701"/>
        </w:trPr>
        <w:tc>
          <w:tcPr>
            <w:tcW w:w="1710" w:type="dxa"/>
            <w:vMerge w:val="restart"/>
            <w:tcBorders>
              <w:top w:val="single" w:sz="4" w:space="0" w:color="auto"/>
              <w:left w:val="single" w:sz="4" w:space="0" w:color="auto"/>
              <w:bottom w:val="nil"/>
              <w:right w:val="single" w:sz="4" w:space="0" w:color="auto"/>
            </w:tcBorders>
          </w:tcPr>
          <w:p w:rsidR="00DF795E" w:rsidRPr="00DA2290" w:rsidRDefault="00DF795E" w:rsidP="00DF795E">
            <w:pPr>
              <w:rPr>
                <w:rFonts w:ascii="Verdana" w:eastAsiaTheme="minorHAnsi" w:hAnsi="Verdana" w:cstheme="minorBidi"/>
                <w:b/>
                <w:bCs/>
                <w:sz w:val="16"/>
                <w:szCs w:val="16"/>
                <w:lang w:eastAsia="sk-SK"/>
              </w:rPr>
            </w:pPr>
          </w:p>
          <w:p w:rsidR="00DF795E" w:rsidRPr="00DA2290" w:rsidRDefault="00DF795E" w:rsidP="00DF795E">
            <w:pPr>
              <w:rPr>
                <w:rFonts w:ascii="Verdana" w:eastAsiaTheme="minorHAnsi" w:hAnsi="Verdana" w:cstheme="minorBidi"/>
                <w:b/>
                <w:bCs/>
                <w:sz w:val="16"/>
                <w:szCs w:val="16"/>
                <w:lang w:eastAsia="sk-SK"/>
              </w:rPr>
            </w:pPr>
            <w:r w:rsidRPr="00DA2290">
              <w:rPr>
                <w:rFonts w:ascii="Verdana" w:eastAsiaTheme="minorHAnsi" w:hAnsi="Verdana" w:cstheme="minorBidi"/>
                <w:b/>
                <w:bCs/>
                <w:sz w:val="16"/>
                <w:szCs w:val="16"/>
                <w:lang w:eastAsia="sk-SK"/>
              </w:rPr>
              <w:t xml:space="preserve">Option </w:t>
            </w:r>
            <w:r w:rsidR="007A070D" w:rsidRPr="00DA2290">
              <w:rPr>
                <w:rFonts w:ascii="Verdana" w:eastAsiaTheme="minorHAnsi" w:hAnsi="Verdana" w:cstheme="minorBidi"/>
                <w:b/>
                <w:bCs/>
                <w:sz w:val="16"/>
                <w:szCs w:val="16"/>
                <w:lang w:eastAsia="sk-SK"/>
              </w:rPr>
              <w:t>1.</w:t>
            </w:r>
            <w:r w:rsidRPr="00DA2290">
              <w:rPr>
                <w:rFonts w:ascii="Verdana" w:eastAsiaTheme="minorHAnsi" w:hAnsi="Verdana" w:cstheme="minorBidi"/>
                <w:b/>
                <w:bCs/>
                <w:sz w:val="16"/>
                <w:szCs w:val="16"/>
                <w:lang w:eastAsia="sk-SK"/>
              </w:rPr>
              <w:t xml:space="preserve">2:                                                                     </w:t>
            </w:r>
          </w:p>
          <w:p w:rsidR="00DF795E" w:rsidRPr="00DA2290" w:rsidRDefault="00DF795E" w:rsidP="00DF795E">
            <w:pPr>
              <w:rPr>
                <w:rFonts w:ascii="Verdana" w:eastAsiaTheme="minorHAnsi" w:hAnsi="Verdana" w:cstheme="minorBidi"/>
                <w:b/>
                <w:bCs/>
                <w:sz w:val="16"/>
                <w:szCs w:val="16"/>
                <w:lang w:eastAsia="sk-SK"/>
              </w:rPr>
            </w:pPr>
          </w:p>
          <w:p w:rsidR="00DF795E" w:rsidRPr="00DA2290" w:rsidRDefault="00DF795E" w:rsidP="00DF795E">
            <w:pPr>
              <w:autoSpaceDE w:val="0"/>
              <w:autoSpaceDN w:val="0"/>
              <w:adjustRightInd w:val="0"/>
              <w:spacing w:before="60" w:after="60"/>
              <w:rPr>
                <w:rFonts w:ascii="Verdana" w:eastAsiaTheme="minorHAnsi" w:hAnsi="Verdana" w:cstheme="minorBidi"/>
                <w:bCs/>
                <w:sz w:val="14"/>
                <w:szCs w:val="16"/>
                <w:lang w:eastAsia="sk-SK"/>
              </w:rPr>
            </w:pPr>
            <w:r w:rsidRPr="00DA2290">
              <w:rPr>
                <w:rFonts w:ascii="Verdana" w:hAnsi="Verdana"/>
                <w:sz w:val="16"/>
                <w:szCs w:val="16"/>
              </w:rPr>
              <w:t>MS to report to EIOPA national provisions of prudential nature</w:t>
            </w:r>
            <w:r w:rsidRPr="00DA2290" w:rsidDel="00EC3779">
              <w:rPr>
                <w:rFonts w:ascii="Verdana" w:hAnsi="Verdana"/>
                <w:sz w:val="16"/>
                <w:szCs w:val="16"/>
              </w:rPr>
              <w:t xml:space="preserve"> </w:t>
            </w:r>
            <w:r w:rsidRPr="00DA2290">
              <w:rPr>
                <w:rFonts w:ascii="Verdana" w:hAnsi="Verdana"/>
                <w:color w:val="000000"/>
                <w:sz w:val="16"/>
                <w:szCs w:val="16"/>
              </w:rPr>
              <w:t>relevant to the field of occupational pension schemes</w:t>
            </w:r>
            <w:r w:rsidRPr="00DA2290">
              <w:rPr>
                <w:rFonts w:ascii="Verdana" w:hAnsi="Verdana"/>
                <w:sz w:val="16"/>
                <w:szCs w:val="16"/>
              </w:rPr>
              <w:t xml:space="preserve"> </w:t>
            </w:r>
            <w:r w:rsidRPr="00DA2290">
              <w:rPr>
                <w:rFonts w:ascii="Verdana" w:hAnsi="Verdana"/>
                <w:b/>
                <w:sz w:val="16"/>
                <w:szCs w:val="16"/>
              </w:rPr>
              <w:t>in a uniform way (fixed structure of the template)</w:t>
            </w:r>
          </w:p>
        </w:tc>
        <w:tc>
          <w:tcPr>
            <w:tcW w:w="1693" w:type="dxa"/>
            <w:tcBorders>
              <w:top w:val="single" w:sz="4" w:space="0" w:color="auto"/>
              <w:left w:val="single" w:sz="4" w:space="0" w:color="auto"/>
              <w:bottom w:val="single" w:sz="4" w:space="0" w:color="auto"/>
              <w:right w:val="nil"/>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Members &amp;</w:t>
            </w:r>
          </w:p>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Beneficiaries</w:t>
            </w:r>
          </w:p>
        </w:tc>
        <w:tc>
          <w:tcPr>
            <w:tcW w:w="3070" w:type="dxa"/>
            <w:tcBorders>
              <w:top w:val="single" w:sz="4" w:space="0" w:color="auto"/>
              <w:left w:val="single" w:sz="4" w:space="0" w:color="auto"/>
              <w:bottom w:val="single" w:sz="4" w:space="0" w:color="auto"/>
              <w:right w:val="single" w:sz="4" w:space="0" w:color="auto"/>
            </w:tcBorders>
            <w:vAlign w:val="center"/>
          </w:tcPr>
          <w:p w:rsidR="00DF795E" w:rsidRPr="00DA2290" w:rsidRDefault="00FE618E" w:rsidP="00DF795E">
            <w:pPr>
              <w:jc w:val="center"/>
              <w:rPr>
                <w:rFonts w:ascii="Verdana" w:hAnsi="Verdana" w:cs="Arial"/>
                <w:sz w:val="16"/>
                <w:szCs w:val="16"/>
                <w:lang w:eastAsia="sk-SK"/>
              </w:rPr>
            </w:pPr>
            <w:r w:rsidRPr="00DA2290">
              <w:rPr>
                <w:rFonts w:ascii="Verdana" w:hAnsi="Verdana" w:cs="Arial"/>
                <w:sz w:val="16"/>
                <w:szCs w:val="16"/>
                <w:lang w:eastAsia="sk-SK"/>
              </w:rPr>
              <w:t xml:space="preserve">Members benefits </w:t>
            </w:r>
            <w:r w:rsidR="00DF795E" w:rsidRPr="00DA2290">
              <w:rPr>
                <w:rFonts w:ascii="Verdana" w:hAnsi="Verdana" w:cs="Arial"/>
                <w:sz w:val="16"/>
                <w:szCs w:val="16"/>
                <w:lang w:eastAsia="sk-SK"/>
              </w:rPr>
              <w:t>indirectly affected only if CAs pass on the costs to IORPs or if the legal transaction costs are lower</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Transparency &amp; comparability of national provisions of prudential nature</w:t>
            </w:r>
          </w:p>
        </w:tc>
        <w:tc>
          <w:tcPr>
            <w:tcW w:w="1139"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Indirect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 xml:space="preserve">Direct </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tc>
        <w:tc>
          <w:tcPr>
            <w:tcW w:w="854"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p>
          <w:p w:rsidR="00DF795E" w:rsidRPr="00DA2290" w:rsidRDefault="00FE618E" w:rsidP="00DF795E">
            <w:pPr>
              <w:jc w:val="center"/>
              <w:rPr>
                <w:rFonts w:ascii="Verdana" w:hAnsi="Verdana" w:cs="Arial"/>
                <w:sz w:val="16"/>
                <w:szCs w:val="16"/>
                <w:lang w:eastAsia="sk-SK"/>
              </w:rPr>
            </w:pPr>
            <w:r w:rsidRPr="00DA2290">
              <w:rPr>
                <w:rFonts w:ascii="Verdana" w:hAnsi="Verdana" w:cs="Arial"/>
                <w:sz w:val="16"/>
                <w:szCs w:val="16"/>
                <w:lang w:eastAsia="sk-SK"/>
              </w:rPr>
              <w:t>0</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H</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tc>
        <w:tc>
          <w:tcPr>
            <w:tcW w:w="808"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tc>
      </w:tr>
      <w:tr w:rsidR="00DF795E" w:rsidRPr="00DA2290" w:rsidTr="00FA6BBE">
        <w:trPr>
          <w:trHeight w:hRule="exact" w:val="1985"/>
        </w:trPr>
        <w:tc>
          <w:tcPr>
            <w:tcW w:w="1710" w:type="dxa"/>
            <w:vMerge/>
            <w:tcBorders>
              <w:left w:val="single" w:sz="4" w:space="0" w:color="auto"/>
              <w:bottom w:val="nil"/>
              <w:right w:val="single" w:sz="4" w:space="0" w:color="auto"/>
            </w:tcBorders>
            <w:vAlign w:val="center"/>
          </w:tcPr>
          <w:p w:rsidR="00DF795E" w:rsidRPr="00DA2290" w:rsidRDefault="00DF795E" w:rsidP="00DF795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nil"/>
            </w:tcBorders>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IORPs and sponsoring undertakings</w:t>
            </w:r>
          </w:p>
        </w:tc>
        <w:tc>
          <w:tcPr>
            <w:tcW w:w="3070"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Levy fees/contributions collected by some CAs may increase but possible reduction of legal transaction costs</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Transparency &amp; comparability of national provisions of prudential nature</w:t>
            </w:r>
          </w:p>
        </w:tc>
        <w:tc>
          <w:tcPr>
            <w:tcW w:w="1139"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Indirect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4"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93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H</w:t>
            </w:r>
          </w:p>
        </w:tc>
        <w:tc>
          <w:tcPr>
            <w:tcW w:w="808"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p>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L</w:t>
            </w:r>
          </w:p>
        </w:tc>
      </w:tr>
      <w:tr w:rsidR="00DF795E" w:rsidRPr="00DA2290" w:rsidTr="00FA6BBE">
        <w:trPr>
          <w:trHeight w:hRule="exact" w:val="885"/>
        </w:trPr>
        <w:tc>
          <w:tcPr>
            <w:tcW w:w="1710" w:type="dxa"/>
            <w:vMerge/>
            <w:tcBorders>
              <w:left w:val="single" w:sz="4" w:space="0" w:color="auto"/>
              <w:bottom w:val="nil"/>
              <w:right w:val="single" w:sz="4" w:space="0" w:color="auto"/>
            </w:tcBorders>
            <w:vAlign w:val="center"/>
          </w:tcPr>
          <w:p w:rsidR="00DF795E" w:rsidRPr="00DA2290" w:rsidRDefault="00DF795E" w:rsidP="00DF795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b/>
                <w:bCs/>
                <w:sz w:val="16"/>
                <w:szCs w:val="16"/>
                <w:lang w:eastAsia="sk-SK"/>
              </w:rPr>
            </w:pPr>
          </w:p>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Competent authorities</w:t>
            </w:r>
          </w:p>
        </w:tc>
        <w:tc>
          <w:tcPr>
            <w:tcW w:w="3070"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The responsibility for the initial, annual and voluntary transmission</w:t>
            </w:r>
          </w:p>
        </w:tc>
        <w:tc>
          <w:tcPr>
            <w:tcW w:w="1139"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4"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933"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H</w:t>
            </w:r>
          </w:p>
        </w:tc>
        <w:tc>
          <w:tcPr>
            <w:tcW w:w="808" w:type="dxa"/>
            <w:tcBorders>
              <w:top w:val="single" w:sz="4" w:space="0" w:color="auto"/>
              <w:left w:val="single" w:sz="4" w:space="0" w:color="auto"/>
              <w:bottom w:val="single" w:sz="4" w:space="0" w:color="auto"/>
              <w:right w:val="single" w:sz="4" w:space="0" w:color="auto"/>
            </w:tcBorders>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P</w:t>
            </w:r>
          </w:p>
        </w:tc>
      </w:tr>
      <w:tr w:rsidR="00DF795E" w:rsidRPr="00DA2290" w:rsidTr="00FA6BBE">
        <w:trPr>
          <w:trHeight w:hRule="exact" w:val="885"/>
        </w:trPr>
        <w:tc>
          <w:tcPr>
            <w:tcW w:w="1710" w:type="dxa"/>
            <w:vMerge/>
            <w:tcBorders>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b/>
                <w:bCs/>
                <w:sz w:val="14"/>
                <w:szCs w:val="16"/>
                <w:lang w:eastAsia="sk-SK"/>
              </w:rPr>
            </w:pPr>
            <w:r w:rsidRPr="00DA2290">
              <w:rPr>
                <w:rFonts w:ascii="Verdana" w:hAnsi="Verdana" w:cs="Arial"/>
                <w:b/>
                <w:bCs/>
                <w:sz w:val="16"/>
                <w:szCs w:val="16"/>
                <w:lang w:eastAsia="sk-SK"/>
              </w:rPr>
              <w:t>EIOPA</w:t>
            </w:r>
          </w:p>
        </w:tc>
        <w:tc>
          <w:tcPr>
            <w:tcW w:w="3070"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7B1873">
            <w:pPr>
              <w:jc w:val="center"/>
              <w:rPr>
                <w:rFonts w:ascii="Verdana" w:hAnsi="Verdana" w:cs="Arial"/>
                <w:sz w:val="14"/>
                <w:szCs w:val="16"/>
                <w:lang w:eastAsia="sk-SK"/>
              </w:rPr>
            </w:pPr>
            <w:r w:rsidRPr="00DA2290">
              <w:rPr>
                <w:rFonts w:ascii="Verdana" w:hAnsi="Verdana" w:cs="Arial"/>
                <w:sz w:val="16"/>
                <w:szCs w:val="16"/>
                <w:lang w:eastAsia="sk-SK"/>
              </w:rPr>
              <w:t>Collecting and publishing the reported material on the website</w:t>
            </w:r>
          </w:p>
        </w:tc>
        <w:tc>
          <w:tcPr>
            <w:tcW w:w="1139"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4"/>
                <w:szCs w:val="16"/>
                <w:lang w:eastAsia="sk-SK"/>
              </w:rPr>
            </w:pPr>
            <w:r w:rsidRPr="00DA2290">
              <w:rPr>
                <w:rFonts w:ascii="Verdana" w:hAnsi="Verdana" w:cs="Arial"/>
                <w:sz w:val="16"/>
                <w:szCs w:val="16"/>
                <w:lang w:eastAsia="sk-SK"/>
              </w:rPr>
              <w:t>Direct</w:t>
            </w:r>
          </w:p>
        </w:tc>
        <w:tc>
          <w:tcPr>
            <w:tcW w:w="854"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4"/>
                <w:szCs w:val="16"/>
                <w:lang w:eastAsia="sk-SK"/>
              </w:rPr>
            </w:pPr>
            <w:r w:rsidRPr="00DA2290">
              <w:rPr>
                <w:rFonts w:ascii="Verdana" w:hAnsi="Verdana" w:cs="Arial"/>
                <w:sz w:val="16"/>
                <w:szCs w:val="16"/>
                <w:lang w:eastAsia="sk-SK"/>
              </w:rPr>
              <w:t>+</w:t>
            </w:r>
          </w:p>
        </w:tc>
        <w:tc>
          <w:tcPr>
            <w:tcW w:w="933"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4"/>
                <w:szCs w:val="16"/>
                <w:lang w:eastAsia="sk-SK"/>
              </w:rPr>
            </w:pPr>
            <w:r w:rsidRPr="00DA2290">
              <w:rPr>
                <w:rFonts w:ascii="Verdana" w:hAnsi="Verdana" w:cs="Arial"/>
                <w:sz w:val="16"/>
                <w:szCs w:val="16"/>
                <w:lang w:eastAsia="sk-SK"/>
              </w:rPr>
              <w:t>H</w:t>
            </w:r>
          </w:p>
        </w:tc>
        <w:tc>
          <w:tcPr>
            <w:tcW w:w="808" w:type="dxa"/>
            <w:tcBorders>
              <w:top w:val="single" w:sz="4" w:space="0" w:color="auto"/>
              <w:left w:val="single" w:sz="4" w:space="0" w:color="auto"/>
              <w:bottom w:val="single" w:sz="4" w:space="0" w:color="auto"/>
              <w:right w:val="single" w:sz="4" w:space="0" w:color="auto"/>
            </w:tcBorders>
            <w:vAlign w:val="center"/>
          </w:tcPr>
          <w:p w:rsidR="00DF795E" w:rsidRPr="00DA2290" w:rsidRDefault="00DF795E" w:rsidP="00DF795E">
            <w:pPr>
              <w:jc w:val="center"/>
              <w:rPr>
                <w:rFonts w:ascii="Verdana" w:hAnsi="Verdana" w:cs="Arial"/>
                <w:sz w:val="14"/>
                <w:szCs w:val="16"/>
                <w:lang w:eastAsia="sk-SK"/>
              </w:rPr>
            </w:pPr>
            <w:r w:rsidRPr="00DA2290">
              <w:rPr>
                <w:rFonts w:ascii="Verdana" w:hAnsi="Verdana" w:cs="Arial"/>
                <w:sz w:val="16"/>
                <w:szCs w:val="16"/>
                <w:lang w:eastAsia="sk-SK"/>
              </w:rPr>
              <w:t>P</w:t>
            </w:r>
          </w:p>
        </w:tc>
      </w:tr>
    </w:tbl>
    <w:p w:rsidR="00DF795E" w:rsidRPr="00DA2290" w:rsidRDefault="00DF795E" w:rsidP="006C3B31">
      <w:pPr>
        <w:tabs>
          <w:tab w:val="num" w:pos="1980"/>
        </w:tabs>
        <w:autoSpaceDE w:val="0"/>
        <w:autoSpaceDN w:val="0"/>
        <w:adjustRightInd w:val="0"/>
        <w:spacing w:before="120"/>
        <w:jc w:val="both"/>
        <w:rPr>
          <w:rFonts w:ascii="Verdana" w:hAnsi="Verdana"/>
          <w:b/>
          <w:i/>
          <w:sz w:val="22"/>
          <w:szCs w:val="22"/>
          <w:u w:val="single"/>
        </w:rPr>
      </w:pPr>
    </w:p>
    <w:tbl>
      <w:tblPr>
        <w:tblW w:w="10340" w:type="dxa"/>
        <w:jc w:val="center"/>
        <w:tblInd w:w="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851"/>
        <w:gridCol w:w="1276"/>
        <w:gridCol w:w="1276"/>
        <w:gridCol w:w="1984"/>
        <w:gridCol w:w="1985"/>
        <w:gridCol w:w="1275"/>
        <w:gridCol w:w="1201"/>
      </w:tblGrid>
      <w:tr w:rsidR="00DF795E" w:rsidRPr="00DA2290" w:rsidTr="00DF795E">
        <w:trPr>
          <w:trHeight w:val="361"/>
          <w:jc w:val="center"/>
        </w:trPr>
        <w:tc>
          <w:tcPr>
            <w:tcW w:w="1343" w:type="dxa"/>
            <w:gridSpan w:val="2"/>
            <w:vMerge w:val="restart"/>
            <w:vAlign w:val="center"/>
          </w:tcPr>
          <w:p w:rsidR="00DF795E" w:rsidRPr="00DA2290" w:rsidRDefault="00DF795E" w:rsidP="00DF795E">
            <w:pPr>
              <w:jc w:val="center"/>
              <w:rPr>
                <w:rFonts w:ascii="Verdana" w:hAnsi="Verdana" w:cs="Arial"/>
                <w:b/>
                <w:sz w:val="16"/>
                <w:szCs w:val="16"/>
                <w:lang w:eastAsia="sk-SK"/>
              </w:rPr>
            </w:pPr>
            <w:r w:rsidRPr="00DA2290">
              <w:rPr>
                <w:rFonts w:ascii="Verdana" w:hAnsi="Verdana" w:cs="Arial"/>
                <w:b/>
                <w:sz w:val="16"/>
                <w:szCs w:val="16"/>
                <w:lang w:eastAsia="sk-SK"/>
              </w:rPr>
              <w:t>Policy Options</w:t>
            </w:r>
          </w:p>
        </w:tc>
        <w:tc>
          <w:tcPr>
            <w:tcW w:w="6521" w:type="dxa"/>
            <w:gridSpan w:val="4"/>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Relevant objectives</w:t>
            </w:r>
          </w:p>
        </w:tc>
        <w:tc>
          <w:tcPr>
            <w:tcW w:w="2476" w:type="dxa"/>
            <w:gridSpan w:val="2"/>
            <w:noWrap/>
            <w:vAlign w:val="center"/>
          </w:tcPr>
          <w:p w:rsidR="00DF795E" w:rsidRPr="00DA2290" w:rsidRDefault="00DF795E" w:rsidP="00DF795E">
            <w:pPr>
              <w:jc w:val="center"/>
              <w:rPr>
                <w:rFonts w:ascii="Verdana" w:hAnsi="Verdana" w:cs="Arial"/>
                <w:b/>
                <w:bCs/>
                <w:sz w:val="16"/>
                <w:szCs w:val="16"/>
                <w:lang w:eastAsia="sk-SK"/>
              </w:rPr>
            </w:pPr>
            <w:r w:rsidRPr="00DA2290">
              <w:rPr>
                <w:rFonts w:ascii="Verdana" w:hAnsi="Verdana" w:cs="Arial"/>
                <w:b/>
                <w:bCs/>
                <w:sz w:val="16"/>
                <w:szCs w:val="16"/>
                <w:lang w:eastAsia="sk-SK"/>
              </w:rPr>
              <w:t>Additional quality indicators</w:t>
            </w:r>
          </w:p>
        </w:tc>
      </w:tr>
      <w:tr w:rsidR="00DF795E" w:rsidRPr="00DA2290" w:rsidTr="00DF795E">
        <w:trPr>
          <w:trHeight w:val="1575"/>
          <w:jc w:val="center"/>
        </w:trPr>
        <w:tc>
          <w:tcPr>
            <w:tcW w:w="1343" w:type="dxa"/>
            <w:gridSpan w:val="2"/>
            <w:vMerge/>
          </w:tcPr>
          <w:p w:rsidR="00DF795E" w:rsidRPr="00DA2290" w:rsidRDefault="00DF795E" w:rsidP="00DF795E">
            <w:pPr>
              <w:jc w:val="center"/>
              <w:rPr>
                <w:rFonts w:ascii="Verdana" w:hAnsi="Verdana" w:cs="Arial"/>
                <w:b/>
                <w:sz w:val="16"/>
                <w:szCs w:val="16"/>
                <w:lang w:eastAsia="sk-SK"/>
              </w:rPr>
            </w:pPr>
          </w:p>
        </w:tc>
        <w:tc>
          <w:tcPr>
            <w:tcW w:w="2552" w:type="dxa"/>
            <w:gridSpan w:val="2"/>
            <w:shd w:val="clear" w:color="auto" w:fill="auto"/>
            <w:vAlign w:val="center"/>
          </w:tcPr>
          <w:p w:rsidR="00DF795E" w:rsidRPr="00DA2290" w:rsidRDefault="00DF795E" w:rsidP="00DF795E">
            <w:pPr>
              <w:rPr>
                <w:rFonts w:ascii="Verdana" w:hAnsi="Verdana" w:cs="Arial"/>
                <w:sz w:val="16"/>
                <w:szCs w:val="16"/>
                <w:lang w:eastAsia="sk-SK"/>
              </w:rPr>
            </w:pPr>
            <w:r w:rsidRPr="00DA2290">
              <w:rPr>
                <w:rFonts w:ascii="Verdana" w:hAnsi="Verdana" w:cs="Arial"/>
                <w:sz w:val="16"/>
                <w:szCs w:val="16"/>
                <w:lang w:eastAsia="sk-SK"/>
              </w:rPr>
              <w:t>to implement requirements of Article 20(11) of the IORP Directive</w:t>
            </w:r>
          </w:p>
        </w:tc>
        <w:tc>
          <w:tcPr>
            <w:tcW w:w="3969" w:type="dxa"/>
            <w:gridSpan w:val="2"/>
            <w:shd w:val="clear" w:color="auto" w:fill="auto"/>
            <w:noWrap/>
            <w:vAlign w:val="center"/>
          </w:tcPr>
          <w:p w:rsidR="00DF795E" w:rsidRPr="00DA2290" w:rsidRDefault="00DF795E" w:rsidP="00DF795E">
            <w:pPr>
              <w:rPr>
                <w:rFonts w:ascii="Verdana" w:hAnsi="Verdana" w:cs="Arial"/>
                <w:sz w:val="16"/>
                <w:szCs w:val="16"/>
                <w:lang w:eastAsia="sk-SK"/>
              </w:rPr>
            </w:pPr>
            <w:r w:rsidRPr="00DA2290">
              <w:rPr>
                <w:rFonts w:ascii="Verdana" w:hAnsi="Verdana" w:cs="Arial"/>
                <w:sz w:val="16"/>
                <w:szCs w:val="16"/>
                <w:lang w:eastAsia="sk-SK"/>
              </w:rPr>
              <w:t>to create a centralised source of information at EU level on national provisions of prudential nature by providing uniform procedures, formats and templates to be used by CAs when transmitting and updating information to EIOPA</w:t>
            </w:r>
          </w:p>
        </w:tc>
        <w:tc>
          <w:tcPr>
            <w:tcW w:w="1275"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sustainability</w:t>
            </w:r>
          </w:p>
        </w:tc>
        <w:tc>
          <w:tcPr>
            <w:tcW w:w="1201"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consistency</w:t>
            </w:r>
          </w:p>
        </w:tc>
      </w:tr>
      <w:tr w:rsidR="00DF795E" w:rsidRPr="00DA2290" w:rsidTr="00DF795E">
        <w:trPr>
          <w:trHeight w:val="472"/>
          <w:jc w:val="center"/>
        </w:trPr>
        <w:tc>
          <w:tcPr>
            <w:tcW w:w="1343" w:type="dxa"/>
            <w:gridSpan w:val="2"/>
            <w:vMerge/>
          </w:tcPr>
          <w:p w:rsidR="00DF795E" w:rsidRPr="00DA2290" w:rsidRDefault="00DF795E" w:rsidP="00DF795E">
            <w:pPr>
              <w:jc w:val="center"/>
              <w:rPr>
                <w:rFonts w:ascii="Verdana" w:hAnsi="Verdana" w:cs="Arial"/>
                <w:b/>
                <w:sz w:val="16"/>
                <w:szCs w:val="16"/>
                <w:lang w:eastAsia="sk-SK"/>
              </w:rPr>
            </w:pPr>
          </w:p>
        </w:tc>
        <w:tc>
          <w:tcPr>
            <w:tcW w:w="1276" w:type="dxa"/>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Effectiveness (0/+/++)</w:t>
            </w:r>
          </w:p>
        </w:tc>
        <w:tc>
          <w:tcPr>
            <w:tcW w:w="1276" w:type="dxa"/>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Efficiency (0/+/++)</w:t>
            </w:r>
          </w:p>
        </w:tc>
        <w:tc>
          <w:tcPr>
            <w:tcW w:w="1984" w:type="dxa"/>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Effectiveness (0/+/++)</w:t>
            </w:r>
          </w:p>
        </w:tc>
        <w:tc>
          <w:tcPr>
            <w:tcW w:w="1985" w:type="dxa"/>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Efficiency (0/+/++)</w:t>
            </w:r>
          </w:p>
        </w:tc>
        <w:tc>
          <w:tcPr>
            <w:tcW w:w="1275" w:type="dxa"/>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(0/+/++)</w:t>
            </w:r>
          </w:p>
        </w:tc>
        <w:tc>
          <w:tcPr>
            <w:tcW w:w="1201" w:type="dxa"/>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(0/+/++)</w:t>
            </w:r>
          </w:p>
        </w:tc>
      </w:tr>
      <w:tr w:rsidR="00DF795E" w:rsidRPr="00DA2290" w:rsidTr="00DF795E">
        <w:trPr>
          <w:trHeight w:val="416"/>
          <w:jc w:val="center"/>
        </w:trPr>
        <w:tc>
          <w:tcPr>
            <w:tcW w:w="492" w:type="dxa"/>
            <w:vMerge w:val="restart"/>
            <w:vAlign w:val="center"/>
          </w:tcPr>
          <w:p w:rsidR="00DF795E" w:rsidRPr="00DA2290" w:rsidRDefault="00DF795E" w:rsidP="00DF795E">
            <w:pPr>
              <w:jc w:val="center"/>
              <w:rPr>
                <w:rFonts w:ascii="Verdana" w:hAnsi="Verdana" w:cs="Arial"/>
                <w:b/>
                <w:sz w:val="16"/>
                <w:szCs w:val="16"/>
                <w:lang w:eastAsia="sk-SK"/>
              </w:rPr>
            </w:pPr>
            <w:r w:rsidRPr="00DA2290">
              <w:rPr>
                <w:rFonts w:ascii="Verdana" w:hAnsi="Verdana" w:cs="Arial"/>
                <w:b/>
                <w:sz w:val="16"/>
                <w:szCs w:val="16"/>
                <w:lang w:eastAsia="sk-SK"/>
              </w:rPr>
              <w:t>Set 1</w:t>
            </w:r>
          </w:p>
        </w:tc>
        <w:tc>
          <w:tcPr>
            <w:tcW w:w="851" w:type="dxa"/>
            <w:noWrap/>
            <w:vAlign w:val="center"/>
          </w:tcPr>
          <w:p w:rsidR="00DF795E" w:rsidRPr="00DA2290" w:rsidRDefault="00DF795E" w:rsidP="00DF795E">
            <w:pPr>
              <w:jc w:val="center"/>
              <w:rPr>
                <w:rFonts w:ascii="Verdana" w:hAnsi="Verdana" w:cs="Arial"/>
                <w:b/>
                <w:sz w:val="16"/>
                <w:szCs w:val="16"/>
                <w:lang w:eastAsia="sk-SK"/>
              </w:rPr>
            </w:pPr>
          </w:p>
          <w:p w:rsidR="00DF795E" w:rsidRPr="00DA2290" w:rsidRDefault="00DF795E" w:rsidP="00DF795E">
            <w:pPr>
              <w:jc w:val="center"/>
              <w:rPr>
                <w:rFonts w:ascii="Verdana" w:hAnsi="Verdana" w:cs="Arial"/>
                <w:b/>
                <w:sz w:val="16"/>
                <w:szCs w:val="16"/>
                <w:lang w:eastAsia="sk-SK"/>
              </w:rPr>
            </w:pPr>
            <w:r w:rsidRPr="00DA2290">
              <w:rPr>
                <w:rFonts w:ascii="Verdana" w:hAnsi="Verdana" w:cs="Arial"/>
                <w:b/>
                <w:sz w:val="16"/>
                <w:szCs w:val="16"/>
                <w:lang w:eastAsia="sk-SK"/>
              </w:rPr>
              <w:t xml:space="preserve">Option </w:t>
            </w:r>
            <w:r w:rsidR="0067059D" w:rsidRPr="00DA2290">
              <w:rPr>
                <w:rFonts w:ascii="Verdana" w:hAnsi="Verdana" w:cs="Arial"/>
                <w:b/>
                <w:sz w:val="16"/>
                <w:szCs w:val="16"/>
                <w:lang w:eastAsia="sk-SK"/>
              </w:rPr>
              <w:t>1.</w:t>
            </w:r>
            <w:r w:rsidRPr="00DA2290">
              <w:rPr>
                <w:rFonts w:ascii="Verdana" w:hAnsi="Verdana" w:cs="Arial"/>
                <w:b/>
                <w:sz w:val="16"/>
                <w:szCs w:val="16"/>
                <w:lang w:eastAsia="sk-SK"/>
              </w:rPr>
              <w:t>1</w:t>
            </w:r>
          </w:p>
          <w:p w:rsidR="00DF795E" w:rsidRPr="00DA2290" w:rsidRDefault="00DF795E" w:rsidP="00DF795E">
            <w:pPr>
              <w:jc w:val="center"/>
              <w:rPr>
                <w:rFonts w:ascii="Verdana" w:hAnsi="Verdana" w:cs="Arial"/>
                <w:b/>
                <w:sz w:val="16"/>
                <w:szCs w:val="16"/>
                <w:lang w:eastAsia="sk-SK"/>
              </w:rPr>
            </w:pPr>
          </w:p>
        </w:tc>
        <w:tc>
          <w:tcPr>
            <w:tcW w:w="1276"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0</w:t>
            </w:r>
          </w:p>
        </w:tc>
        <w:tc>
          <w:tcPr>
            <w:tcW w:w="1276"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1984"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0</w:t>
            </w:r>
          </w:p>
        </w:tc>
        <w:tc>
          <w:tcPr>
            <w:tcW w:w="1985"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1275"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0</w:t>
            </w:r>
          </w:p>
        </w:tc>
        <w:tc>
          <w:tcPr>
            <w:tcW w:w="1201"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0</w:t>
            </w:r>
          </w:p>
        </w:tc>
      </w:tr>
      <w:tr w:rsidR="00DF795E" w:rsidRPr="00DA2290" w:rsidTr="00DF795E">
        <w:trPr>
          <w:trHeight w:val="402"/>
          <w:jc w:val="center"/>
        </w:trPr>
        <w:tc>
          <w:tcPr>
            <w:tcW w:w="492" w:type="dxa"/>
            <w:vMerge/>
          </w:tcPr>
          <w:p w:rsidR="00DF795E" w:rsidRPr="00DA2290" w:rsidRDefault="00DF795E" w:rsidP="00DF795E">
            <w:pPr>
              <w:jc w:val="center"/>
              <w:rPr>
                <w:rFonts w:ascii="Verdana" w:hAnsi="Verdana" w:cs="Arial"/>
                <w:b/>
                <w:sz w:val="16"/>
                <w:szCs w:val="16"/>
                <w:lang w:eastAsia="sk-SK"/>
              </w:rPr>
            </w:pPr>
          </w:p>
        </w:tc>
        <w:tc>
          <w:tcPr>
            <w:tcW w:w="851" w:type="dxa"/>
            <w:noWrap/>
            <w:vAlign w:val="center"/>
          </w:tcPr>
          <w:p w:rsidR="00DF795E" w:rsidRPr="00DA2290" w:rsidRDefault="00DF795E" w:rsidP="00DF795E">
            <w:pPr>
              <w:jc w:val="center"/>
              <w:rPr>
                <w:rFonts w:ascii="Verdana" w:hAnsi="Verdana" w:cs="Arial"/>
                <w:b/>
                <w:sz w:val="16"/>
                <w:szCs w:val="16"/>
                <w:lang w:eastAsia="sk-SK"/>
              </w:rPr>
            </w:pPr>
          </w:p>
          <w:p w:rsidR="00DF795E" w:rsidRPr="00DA2290" w:rsidRDefault="00DF795E" w:rsidP="00DF795E">
            <w:pPr>
              <w:jc w:val="center"/>
              <w:rPr>
                <w:rFonts w:ascii="Verdana" w:hAnsi="Verdana" w:cs="Arial"/>
                <w:b/>
                <w:sz w:val="16"/>
                <w:szCs w:val="16"/>
                <w:lang w:eastAsia="sk-SK"/>
              </w:rPr>
            </w:pPr>
            <w:r w:rsidRPr="00DA2290">
              <w:rPr>
                <w:rFonts w:ascii="Verdana" w:hAnsi="Verdana" w:cs="Arial"/>
                <w:b/>
                <w:sz w:val="16"/>
                <w:szCs w:val="16"/>
                <w:lang w:eastAsia="sk-SK"/>
              </w:rPr>
              <w:t xml:space="preserve">Option </w:t>
            </w:r>
            <w:r w:rsidR="0067059D" w:rsidRPr="00DA2290">
              <w:rPr>
                <w:rFonts w:ascii="Verdana" w:hAnsi="Verdana" w:cs="Arial"/>
                <w:b/>
                <w:sz w:val="16"/>
                <w:szCs w:val="16"/>
                <w:lang w:eastAsia="sk-SK"/>
              </w:rPr>
              <w:t>1.</w:t>
            </w:r>
            <w:r w:rsidRPr="00DA2290">
              <w:rPr>
                <w:rFonts w:ascii="Verdana" w:hAnsi="Verdana" w:cs="Arial"/>
                <w:b/>
                <w:sz w:val="16"/>
                <w:szCs w:val="16"/>
                <w:lang w:eastAsia="sk-SK"/>
              </w:rPr>
              <w:t>2</w:t>
            </w:r>
          </w:p>
          <w:p w:rsidR="00DF795E" w:rsidRPr="00DA2290" w:rsidRDefault="00DF795E" w:rsidP="00DF795E">
            <w:pPr>
              <w:jc w:val="center"/>
              <w:rPr>
                <w:rFonts w:ascii="Verdana" w:hAnsi="Verdana" w:cs="Arial"/>
                <w:b/>
                <w:sz w:val="16"/>
                <w:szCs w:val="16"/>
                <w:lang w:eastAsia="sk-SK"/>
              </w:rPr>
            </w:pPr>
          </w:p>
        </w:tc>
        <w:tc>
          <w:tcPr>
            <w:tcW w:w="1276"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1276"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1984"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1985"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1275"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c>
          <w:tcPr>
            <w:tcW w:w="1201" w:type="dxa"/>
            <w:noWrap/>
            <w:vAlign w:val="center"/>
          </w:tcPr>
          <w:p w:rsidR="00DF795E" w:rsidRPr="00DA2290" w:rsidRDefault="00DF795E" w:rsidP="00DF795E">
            <w:pPr>
              <w:jc w:val="center"/>
              <w:rPr>
                <w:rFonts w:ascii="Verdana" w:hAnsi="Verdana" w:cs="Arial"/>
                <w:sz w:val="16"/>
                <w:szCs w:val="16"/>
                <w:lang w:eastAsia="sk-SK"/>
              </w:rPr>
            </w:pPr>
            <w:r w:rsidRPr="00DA2290">
              <w:rPr>
                <w:rFonts w:ascii="Verdana" w:hAnsi="Verdana" w:cs="Arial"/>
                <w:sz w:val="16"/>
                <w:szCs w:val="16"/>
                <w:lang w:eastAsia="sk-SK"/>
              </w:rPr>
              <w:t>++</w:t>
            </w:r>
          </w:p>
        </w:tc>
      </w:tr>
    </w:tbl>
    <w:p w:rsidR="00DF795E" w:rsidRPr="00DA2290" w:rsidRDefault="00DF795E" w:rsidP="006C3B31">
      <w:pPr>
        <w:tabs>
          <w:tab w:val="num" w:pos="1980"/>
        </w:tabs>
        <w:autoSpaceDE w:val="0"/>
        <w:autoSpaceDN w:val="0"/>
        <w:adjustRightInd w:val="0"/>
        <w:spacing w:before="120"/>
        <w:jc w:val="both"/>
        <w:rPr>
          <w:rFonts w:ascii="Verdana" w:hAnsi="Verdana"/>
          <w:b/>
          <w:i/>
          <w:sz w:val="22"/>
          <w:szCs w:val="22"/>
          <w:u w:val="single"/>
        </w:rPr>
      </w:pPr>
    </w:p>
    <w:p w:rsidR="00D5259B" w:rsidRPr="00DA2290" w:rsidRDefault="00D5259B" w:rsidP="006C3B31">
      <w:pPr>
        <w:tabs>
          <w:tab w:val="num" w:pos="1980"/>
        </w:tabs>
        <w:autoSpaceDE w:val="0"/>
        <w:autoSpaceDN w:val="0"/>
        <w:adjustRightInd w:val="0"/>
        <w:spacing w:before="120"/>
        <w:jc w:val="both"/>
        <w:rPr>
          <w:rFonts w:ascii="Verdana" w:hAnsi="Verdana"/>
          <w:b/>
          <w:i/>
          <w:sz w:val="22"/>
          <w:szCs w:val="22"/>
          <w:u w:val="single"/>
        </w:rPr>
      </w:pPr>
      <w:r w:rsidRPr="00DA2290">
        <w:rPr>
          <w:rFonts w:ascii="Verdana" w:hAnsi="Verdana"/>
          <w:b/>
          <w:i/>
          <w:sz w:val="22"/>
          <w:szCs w:val="22"/>
          <w:u w:val="single"/>
        </w:rPr>
        <w:t>Conclusion</w:t>
      </w:r>
      <w:r w:rsidR="00F92E87" w:rsidRPr="00DA2290">
        <w:rPr>
          <w:rFonts w:ascii="Verdana" w:hAnsi="Verdana"/>
          <w:b/>
          <w:i/>
          <w:sz w:val="22"/>
          <w:szCs w:val="22"/>
          <w:u w:val="single"/>
        </w:rPr>
        <w:t xml:space="preserve"> with regard to the </w:t>
      </w:r>
      <w:r w:rsidR="007E254D" w:rsidRPr="00DA2290">
        <w:rPr>
          <w:rFonts w:ascii="Verdana" w:hAnsi="Verdana"/>
          <w:b/>
          <w:i/>
          <w:sz w:val="22"/>
          <w:szCs w:val="22"/>
          <w:u w:val="single"/>
        </w:rPr>
        <w:t>S</w:t>
      </w:r>
      <w:r w:rsidR="00A1056F" w:rsidRPr="00DA2290">
        <w:rPr>
          <w:rFonts w:ascii="Verdana" w:hAnsi="Verdana"/>
          <w:b/>
          <w:i/>
          <w:sz w:val="22"/>
          <w:szCs w:val="22"/>
          <w:u w:val="single"/>
        </w:rPr>
        <w:t xml:space="preserve">et 1 of </w:t>
      </w:r>
      <w:r w:rsidR="00F92E87" w:rsidRPr="00DA2290">
        <w:rPr>
          <w:rFonts w:ascii="Verdana" w:hAnsi="Verdana"/>
          <w:b/>
          <w:i/>
          <w:sz w:val="22"/>
          <w:szCs w:val="22"/>
          <w:u w:val="single"/>
        </w:rPr>
        <w:t>policy options</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On </w:t>
      </w:r>
      <w:r w:rsidR="000754CF" w:rsidRPr="00DA2290">
        <w:rPr>
          <w:rFonts w:ascii="Verdana" w:hAnsi="Verdana"/>
          <w:sz w:val="22"/>
          <w:szCs w:val="22"/>
        </w:rPr>
        <w:t xml:space="preserve">the basis of </w:t>
      </w:r>
      <w:r w:rsidRPr="00DA2290">
        <w:rPr>
          <w:rFonts w:ascii="Verdana" w:hAnsi="Verdana"/>
          <w:sz w:val="22"/>
          <w:szCs w:val="22"/>
        </w:rPr>
        <w:t xml:space="preserve">the above analysis the objectives pursued could be better fulfilled and the </w:t>
      </w:r>
      <w:r w:rsidRPr="00DA2290">
        <w:rPr>
          <w:rFonts w:ascii="Verdana" w:hAnsi="Verdana"/>
          <w:b/>
          <w:sz w:val="22"/>
          <w:szCs w:val="22"/>
        </w:rPr>
        <w:t>uniformity</w:t>
      </w:r>
      <w:r w:rsidRPr="00DA2290">
        <w:rPr>
          <w:rFonts w:ascii="Verdana" w:hAnsi="Verdana"/>
          <w:sz w:val="22"/>
          <w:szCs w:val="22"/>
        </w:rPr>
        <w:t xml:space="preserve"> of reporting and presenting the information achieved in a more proportionate way </w:t>
      </w:r>
      <w:r w:rsidR="006451E1" w:rsidRPr="00DA2290">
        <w:rPr>
          <w:rFonts w:ascii="Verdana" w:hAnsi="Verdana"/>
          <w:sz w:val="22"/>
          <w:szCs w:val="22"/>
        </w:rPr>
        <w:t xml:space="preserve">through </w:t>
      </w:r>
      <w:r w:rsidRPr="00DA2290">
        <w:rPr>
          <w:rFonts w:ascii="Verdana" w:hAnsi="Verdana"/>
          <w:sz w:val="22"/>
          <w:szCs w:val="22"/>
        </w:rPr>
        <w:t xml:space="preserve">option </w:t>
      </w:r>
      <w:r w:rsidR="006451E1" w:rsidRPr="00DA2290">
        <w:rPr>
          <w:rFonts w:ascii="Verdana" w:hAnsi="Verdana"/>
          <w:sz w:val="22"/>
          <w:szCs w:val="22"/>
        </w:rPr>
        <w:t>1.</w:t>
      </w:r>
      <w:r w:rsidRPr="00DA2290">
        <w:rPr>
          <w:rFonts w:ascii="Verdana" w:hAnsi="Verdana"/>
          <w:sz w:val="22"/>
          <w:szCs w:val="22"/>
        </w:rPr>
        <w:t>2.</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In conclusion, the comparison of options shows that implementation of option </w:t>
      </w:r>
      <w:r w:rsidR="008216A0" w:rsidRPr="00DA2290">
        <w:rPr>
          <w:rFonts w:ascii="Verdana" w:hAnsi="Verdana"/>
          <w:sz w:val="22"/>
          <w:szCs w:val="22"/>
        </w:rPr>
        <w:t>1.</w:t>
      </w:r>
      <w:r w:rsidRPr="00DA2290">
        <w:rPr>
          <w:rFonts w:ascii="Verdana" w:hAnsi="Verdana"/>
          <w:sz w:val="22"/>
          <w:szCs w:val="22"/>
        </w:rPr>
        <w:t xml:space="preserve">2 </w:t>
      </w:r>
      <w:r w:rsidR="00667C14" w:rsidRPr="00DA2290">
        <w:rPr>
          <w:rFonts w:ascii="Verdana" w:hAnsi="Verdana"/>
          <w:sz w:val="22"/>
          <w:szCs w:val="22"/>
        </w:rPr>
        <w:t>would likely</w:t>
      </w:r>
      <w:r w:rsidR="00CC0F12" w:rsidRPr="00DA2290">
        <w:rPr>
          <w:rFonts w:ascii="Verdana" w:hAnsi="Verdana"/>
          <w:sz w:val="22"/>
          <w:szCs w:val="22"/>
        </w:rPr>
        <w:t xml:space="preserve"> </w:t>
      </w:r>
      <w:r w:rsidRPr="00DA2290">
        <w:rPr>
          <w:rFonts w:ascii="Verdana" w:hAnsi="Verdana"/>
          <w:sz w:val="22"/>
          <w:szCs w:val="22"/>
        </w:rPr>
        <w:t>produce overall benefits (</w:t>
      </w:r>
      <w:r w:rsidR="005D64DA" w:rsidRPr="00DA2290">
        <w:rPr>
          <w:rFonts w:ascii="Verdana" w:hAnsi="Verdana"/>
          <w:sz w:val="22"/>
          <w:szCs w:val="22"/>
        </w:rPr>
        <w:t xml:space="preserve">transparency, </w:t>
      </w:r>
      <w:r w:rsidRPr="00DA2290">
        <w:rPr>
          <w:rFonts w:ascii="Verdana" w:hAnsi="Verdana"/>
          <w:sz w:val="22"/>
          <w:szCs w:val="22"/>
        </w:rPr>
        <w:t>simplicity, clarity</w:t>
      </w:r>
      <w:r w:rsidR="005D64DA" w:rsidRPr="00DA2290">
        <w:rPr>
          <w:rFonts w:ascii="Verdana" w:hAnsi="Verdana"/>
          <w:sz w:val="22"/>
          <w:szCs w:val="22"/>
        </w:rPr>
        <w:t xml:space="preserve">, comparability, </w:t>
      </w:r>
      <w:r w:rsidRPr="00DA2290">
        <w:rPr>
          <w:rFonts w:ascii="Verdana" w:hAnsi="Verdana"/>
          <w:sz w:val="22"/>
          <w:szCs w:val="22"/>
        </w:rPr>
        <w:t>reduced legal transaction costs). Th</w:t>
      </w:r>
      <w:r w:rsidR="00E64A62" w:rsidRPr="00DA2290">
        <w:rPr>
          <w:rFonts w:ascii="Verdana" w:hAnsi="Verdana"/>
          <w:sz w:val="22"/>
          <w:szCs w:val="22"/>
        </w:rPr>
        <w:t>is</w:t>
      </w:r>
      <w:r w:rsidRPr="00DA2290">
        <w:rPr>
          <w:rFonts w:ascii="Verdana" w:hAnsi="Verdana"/>
          <w:sz w:val="22"/>
          <w:szCs w:val="22"/>
        </w:rPr>
        <w:t xml:space="preserve"> </w:t>
      </w:r>
      <w:r w:rsidR="006C2F23" w:rsidRPr="00DA2290">
        <w:rPr>
          <w:rFonts w:ascii="Verdana" w:hAnsi="Verdana"/>
          <w:sz w:val="22"/>
          <w:szCs w:val="22"/>
        </w:rPr>
        <w:t>is expected to</w:t>
      </w:r>
      <w:r w:rsidRPr="00DA2290">
        <w:rPr>
          <w:rFonts w:ascii="Verdana" w:hAnsi="Verdana"/>
          <w:sz w:val="22"/>
          <w:szCs w:val="22"/>
        </w:rPr>
        <w:t xml:space="preserve"> exceed the associated costs of reporting, resulting in a </w:t>
      </w:r>
      <w:r w:rsidR="00ED370F" w:rsidRPr="00DA2290">
        <w:rPr>
          <w:rFonts w:ascii="Verdana" w:hAnsi="Verdana"/>
          <w:sz w:val="22"/>
          <w:szCs w:val="22"/>
        </w:rPr>
        <w:t xml:space="preserve">significant </w:t>
      </w:r>
      <w:r w:rsidRPr="00DA2290">
        <w:rPr>
          <w:rFonts w:ascii="Verdana" w:hAnsi="Verdana"/>
          <w:sz w:val="22"/>
          <w:szCs w:val="22"/>
        </w:rPr>
        <w:t xml:space="preserve">improvement </w:t>
      </w:r>
      <w:r w:rsidR="008216A0" w:rsidRPr="00DA2290">
        <w:rPr>
          <w:rFonts w:ascii="Verdana" w:hAnsi="Verdana"/>
          <w:sz w:val="22"/>
          <w:szCs w:val="22"/>
        </w:rPr>
        <w:t xml:space="preserve">compared to </w:t>
      </w:r>
      <w:r w:rsidRPr="00DA2290">
        <w:rPr>
          <w:rFonts w:ascii="Verdana" w:hAnsi="Verdana"/>
          <w:sz w:val="22"/>
          <w:szCs w:val="22"/>
        </w:rPr>
        <w:t>the baseline scenario of “no reporting”.</w:t>
      </w:r>
    </w:p>
    <w:p w:rsidR="00177C03" w:rsidRPr="00DA2290" w:rsidRDefault="004D1B87" w:rsidP="00177C03">
      <w:pPr>
        <w:numPr>
          <w:ilvl w:val="0"/>
          <w:numId w:val="40"/>
        </w:numPr>
        <w:autoSpaceDE w:val="0"/>
        <w:autoSpaceDN w:val="0"/>
        <w:adjustRightInd w:val="0"/>
        <w:spacing w:before="120" w:line="276" w:lineRule="auto"/>
        <w:ind w:left="567" w:hanging="567"/>
        <w:jc w:val="both"/>
        <w:rPr>
          <w:rFonts w:ascii="Verdana" w:hAnsi="Verdana" w:cs="EUAlbertina"/>
          <w:strike/>
          <w:color w:val="000000"/>
          <w:sz w:val="22"/>
          <w:szCs w:val="22"/>
        </w:rPr>
      </w:pPr>
      <w:r w:rsidRPr="00DA2290">
        <w:rPr>
          <w:rFonts w:ascii="Verdana" w:hAnsi="Verdana" w:cs="EUAlbertina"/>
          <w:color w:val="000000"/>
          <w:sz w:val="22"/>
        </w:rPr>
        <w:t xml:space="preserve">In comparison to the baseline scenario, EIOPA believes that the uniform approach to reporting provided by the template helps achieve the objectives of the draft ITS in an effective and efficient way by providing </w:t>
      </w:r>
      <w:r w:rsidR="00177C03" w:rsidRPr="00DA2290">
        <w:rPr>
          <w:rFonts w:ascii="Verdana" w:hAnsi="Verdana" w:cs="EUAlbertina"/>
          <w:color w:val="000000"/>
          <w:sz w:val="22"/>
        </w:rPr>
        <w:t xml:space="preserve">a clear overview on the variety of national provisions of prudential nature relevant to the field of occupational pension schemes across EEA countries. Necessary distinctions have been made when it comes to different provisions being applied to different structural types of </w:t>
      </w:r>
      <w:r w:rsidR="00EE4C2B" w:rsidRPr="00DA2290">
        <w:rPr>
          <w:rFonts w:ascii="Verdana" w:hAnsi="Verdana" w:cs="EUAlbertina"/>
          <w:color w:val="000000"/>
          <w:sz w:val="22"/>
        </w:rPr>
        <w:t>IORPs</w:t>
      </w:r>
      <w:r w:rsidR="00177C03" w:rsidRPr="00DA2290">
        <w:rPr>
          <w:rFonts w:ascii="Verdana" w:hAnsi="Verdana" w:cs="EUAlbertina"/>
          <w:color w:val="000000"/>
          <w:sz w:val="22"/>
        </w:rPr>
        <w:t xml:space="preserve"> as well as to the different </w:t>
      </w:r>
      <w:r w:rsidR="00177C03" w:rsidRPr="00DA2290">
        <w:rPr>
          <w:rFonts w:ascii="Verdana" w:hAnsi="Verdana" w:cs="EUAlbertina"/>
          <w:color w:val="000000"/>
          <w:sz w:val="22"/>
          <w:szCs w:val="22"/>
        </w:rPr>
        <w:t xml:space="preserve">territorial extent of the reported provisions. </w:t>
      </w:r>
      <w:r w:rsidRPr="00DA2290">
        <w:rPr>
          <w:rFonts w:ascii="Verdana" w:hAnsi="Verdana" w:cs="EUAlbertina"/>
          <w:color w:val="000000"/>
          <w:sz w:val="22"/>
          <w:szCs w:val="22"/>
        </w:rPr>
        <w:t>The s</w:t>
      </w:r>
      <w:r w:rsidR="00177C03" w:rsidRPr="00DA2290">
        <w:rPr>
          <w:rFonts w:ascii="Verdana" w:hAnsi="Verdana" w:cs="EUAlbertina"/>
          <w:color w:val="000000"/>
          <w:sz w:val="22"/>
          <w:szCs w:val="22"/>
        </w:rPr>
        <w:t>tructure of the template and</w:t>
      </w:r>
      <w:r w:rsidRPr="00DA2290">
        <w:rPr>
          <w:rFonts w:ascii="Verdana" w:hAnsi="Verdana" w:cs="EUAlbertina"/>
          <w:color w:val="000000"/>
          <w:sz w:val="22"/>
          <w:szCs w:val="22"/>
        </w:rPr>
        <w:t xml:space="preserve"> the</w:t>
      </w:r>
      <w:r w:rsidR="00177C03" w:rsidRPr="00DA2290">
        <w:rPr>
          <w:rFonts w:ascii="Verdana" w:hAnsi="Verdana" w:cs="EUAlbertina"/>
          <w:color w:val="000000"/>
          <w:sz w:val="22"/>
          <w:szCs w:val="22"/>
        </w:rPr>
        <w:t xml:space="preserve"> format are clear and enable reporting in an easy and transparent way. </w:t>
      </w:r>
    </w:p>
    <w:p w:rsidR="00177C03" w:rsidRPr="00DA2290" w:rsidRDefault="00177C03" w:rsidP="00177C03">
      <w:pPr>
        <w:numPr>
          <w:ilvl w:val="0"/>
          <w:numId w:val="40"/>
        </w:numPr>
        <w:autoSpaceDE w:val="0"/>
        <w:autoSpaceDN w:val="0"/>
        <w:adjustRightInd w:val="0"/>
        <w:spacing w:before="120" w:line="276" w:lineRule="auto"/>
        <w:ind w:left="567" w:hanging="567"/>
        <w:jc w:val="both"/>
        <w:rPr>
          <w:rFonts w:ascii="Verdana" w:hAnsi="Verdana" w:cs="EUAlbertina"/>
          <w:color w:val="000000"/>
          <w:sz w:val="22"/>
          <w:szCs w:val="22"/>
        </w:rPr>
      </w:pPr>
      <w:r w:rsidRPr="00DA2290">
        <w:rPr>
          <w:rFonts w:ascii="Verdana" w:hAnsi="Verdana" w:cs="EUAlbertina"/>
          <w:color w:val="000000"/>
          <w:sz w:val="22"/>
          <w:szCs w:val="22"/>
        </w:rPr>
        <w:t xml:space="preserve">On </w:t>
      </w:r>
      <w:r w:rsidRPr="00DA2290">
        <w:rPr>
          <w:rFonts w:ascii="Verdana" w:hAnsi="Verdana" w:cs="Arial"/>
          <w:sz w:val="22"/>
          <w:szCs w:val="22"/>
        </w:rPr>
        <w:t>reporting</w:t>
      </w:r>
      <w:r w:rsidRPr="00DA2290">
        <w:rPr>
          <w:rFonts w:ascii="Verdana" w:hAnsi="Verdana" w:cs="EUAlbertina"/>
          <w:color w:val="000000"/>
          <w:sz w:val="22"/>
          <w:szCs w:val="22"/>
        </w:rPr>
        <w:t xml:space="preserve"> </w:t>
      </w:r>
      <w:r w:rsidRPr="00DA2290">
        <w:rPr>
          <w:rFonts w:ascii="Verdana" w:hAnsi="Verdana"/>
          <w:sz w:val="22"/>
          <w:szCs w:val="22"/>
        </w:rPr>
        <w:t>formats</w:t>
      </w:r>
      <w:r w:rsidRPr="00DA2290">
        <w:rPr>
          <w:rFonts w:ascii="Verdana" w:hAnsi="Verdana" w:cs="EUAlbertina"/>
          <w:color w:val="000000"/>
          <w:sz w:val="22"/>
          <w:szCs w:val="22"/>
        </w:rPr>
        <w:t xml:space="preserve"> and templates, EIOPA suggests that a proportionate response would be </w:t>
      </w:r>
      <w:r w:rsidR="004D1B87" w:rsidRPr="00DA2290">
        <w:rPr>
          <w:rFonts w:ascii="Verdana" w:hAnsi="Verdana" w:cs="EUAlbertina"/>
          <w:color w:val="000000"/>
          <w:sz w:val="22"/>
          <w:szCs w:val="22"/>
        </w:rPr>
        <w:t xml:space="preserve">for competent authorities </w:t>
      </w:r>
      <w:r w:rsidRPr="00DA2290">
        <w:rPr>
          <w:rFonts w:ascii="Verdana" w:hAnsi="Verdana" w:cs="EUAlbertina"/>
          <w:color w:val="000000"/>
          <w:sz w:val="22"/>
          <w:szCs w:val="22"/>
        </w:rPr>
        <w:t>to fill in a template with the following types of information:</w:t>
      </w:r>
    </w:p>
    <w:p w:rsidR="00177C03" w:rsidRPr="00DA2290" w:rsidRDefault="00177C03" w:rsidP="004D2CA4">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sz w:val="22"/>
        </w:rPr>
        <w:t>names</w:t>
      </w:r>
      <w:r w:rsidRPr="00DA2290">
        <w:rPr>
          <w:rFonts w:ascii="Verdana" w:hAnsi="Verdana" w:cs="EUAlbertina"/>
          <w:color w:val="000000"/>
          <w:sz w:val="22"/>
          <w:szCs w:val="22"/>
        </w:rPr>
        <w:t xml:space="preserve"> of a competent authority and Member State, date of </w:t>
      </w:r>
      <w:r w:rsidR="004643E8" w:rsidRPr="00DA2290">
        <w:rPr>
          <w:rFonts w:ascii="Verdana" w:hAnsi="Verdana" w:cs="EUAlbertina"/>
          <w:color w:val="000000"/>
          <w:sz w:val="22"/>
          <w:szCs w:val="22"/>
        </w:rPr>
        <w:t xml:space="preserve">transmission of the information </w:t>
      </w:r>
      <w:r w:rsidRPr="00DA2290">
        <w:rPr>
          <w:rFonts w:ascii="Verdana" w:hAnsi="Verdana" w:cs="EUAlbertina"/>
          <w:color w:val="000000"/>
          <w:sz w:val="22"/>
          <w:szCs w:val="22"/>
        </w:rPr>
        <w:t xml:space="preserve">to EIOPA, </w:t>
      </w:r>
    </w:p>
    <w:p w:rsidR="00B261E9" w:rsidRPr="00DA2290" w:rsidRDefault="00B261E9" w:rsidP="00B261E9">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sz w:val="22"/>
        </w:rPr>
        <w:t>type</w:t>
      </w:r>
      <w:r w:rsidRPr="00DA2290">
        <w:rPr>
          <w:rFonts w:ascii="Verdana" w:hAnsi="Verdana" w:cs="EUAlbertina"/>
          <w:color w:val="000000"/>
          <w:sz w:val="22"/>
          <w:szCs w:val="22"/>
        </w:rPr>
        <w:t xml:space="preserve"> of a report regarding transmission of data (first, voluntary, annual),</w:t>
      </w:r>
    </w:p>
    <w:p w:rsidR="00177C03" w:rsidRPr="00DA2290" w:rsidRDefault="00177C03" w:rsidP="004D2CA4">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cs="EUAlbertina"/>
          <w:color w:val="000000"/>
          <w:sz w:val="22"/>
          <w:szCs w:val="22"/>
        </w:rPr>
        <w:t xml:space="preserve">if the </w:t>
      </w:r>
      <w:r w:rsidRPr="00DA2290">
        <w:rPr>
          <w:rFonts w:ascii="Verdana" w:hAnsi="Verdana"/>
          <w:sz w:val="22"/>
        </w:rPr>
        <w:t>report</w:t>
      </w:r>
      <w:r w:rsidRPr="00DA2290">
        <w:rPr>
          <w:rFonts w:ascii="Verdana" w:hAnsi="Verdana" w:cs="EUAlbertina"/>
          <w:color w:val="000000"/>
          <w:sz w:val="22"/>
          <w:szCs w:val="22"/>
        </w:rPr>
        <w:t xml:space="preserve"> refers to the business of occupational retirement provisions of insurance undertakings (commonly known as “Art. 4 IORPs”),</w:t>
      </w:r>
    </w:p>
    <w:p w:rsidR="00177C03" w:rsidRPr="00DA2290" w:rsidRDefault="00177C03" w:rsidP="004D2CA4">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sz w:val="22"/>
        </w:rPr>
        <w:t>structural</w:t>
      </w:r>
      <w:r w:rsidRPr="00DA2290">
        <w:rPr>
          <w:rFonts w:ascii="Verdana" w:hAnsi="Verdana" w:cs="EUAlbertina"/>
          <w:color w:val="000000"/>
          <w:sz w:val="22"/>
          <w:szCs w:val="22"/>
        </w:rPr>
        <w:t xml:space="preserve"> type(s) of IORP - where there is more than one structural type of IORPs in a Member State and they fall under different national prudential provisions names of those types need to be provided. In such a case CA needs to indicate which provisions apply to which type of an IORP (e.g. in DE there are two structural types: “Pensionskasse” and “Pensionsfonds”).</w:t>
      </w:r>
    </w:p>
    <w:p w:rsidR="00177C03" w:rsidRPr="00DA2290" w:rsidRDefault="00177C03" w:rsidP="004D2CA4">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cs="EUAlbertina"/>
          <w:color w:val="000000"/>
          <w:sz w:val="22"/>
          <w:szCs w:val="22"/>
        </w:rPr>
        <w:t>territorial extent of the reported provisions where these do not extend to the whole of the territory of the MS concerned (e.g. with regard to the UK there are some implementing provisions for Northern Ireland). In such a case</w:t>
      </w:r>
      <w:r w:rsidR="00A249E2" w:rsidRPr="00DA2290">
        <w:rPr>
          <w:rFonts w:ascii="Verdana" w:hAnsi="Verdana" w:cs="EUAlbertina"/>
          <w:color w:val="000000"/>
          <w:sz w:val="22"/>
          <w:szCs w:val="22"/>
        </w:rPr>
        <w:t>, the</w:t>
      </w:r>
      <w:r w:rsidRPr="00DA2290">
        <w:rPr>
          <w:rFonts w:ascii="Verdana" w:hAnsi="Verdana" w:cs="EUAlbertina"/>
          <w:color w:val="000000"/>
          <w:sz w:val="22"/>
          <w:szCs w:val="22"/>
        </w:rPr>
        <w:t xml:space="preserve"> territorial extent of each of the reported provisions needs to be </w:t>
      </w:r>
      <w:r w:rsidRPr="00DA2290">
        <w:rPr>
          <w:rFonts w:ascii="Verdana" w:hAnsi="Verdana"/>
          <w:sz w:val="22"/>
        </w:rPr>
        <w:t>indicated</w:t>
      </w:r>
      <w:r w:rsidRPr="00DA2290">
        <w:rPr>
          <w:rFonts w:ascii="Verdana" w:hAnsi="Verdana" w:cs="EUAlbertina"/>
          <w:color w:val="000000"/>
          <w:sz w:val="22"/>
          <w:szCs w:val="22"/>
        </w:rPr>
        <w:t>.</w:t>
      </w:r>
    </w:p>
    <w:p w:rsidR="00177C03" w:rsidRPr="00DA2290" w:rsidRDefault="00B61655" w:rsidP="004D2CA4">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cs="EUAlbertina"/>
          <w:color w:val="000000"/>
          <w:sz w:val="22"/>
          <w:szCs w:val="22"/>
        </w:rPr>
        <w:t>the</w:t>
      </w:r>
      <w:r w:rsidR="00177C03" w:rsidRPr="00DA2290">
        <w:rPr>
          <w:rFonts w:ascii="Verdana" w:hAnsi="Verdana" w:cs="EUAlbertina"/>
          <w:color w:val="000000"/>
          <w:sz w:val="22"/>
          <w:szCs w:val="22"/>
        </w:rPr>
        <w:t xml:space="preserve"> </w:t>
      </w:r>
      <w:r w:rsidR="00177C03" w:rsidRPr="00DA2290">
        <w:rPr>
          <w:rFonts w:ascii="Verdana" w:hAnsi="Verdana"/>
          <w:bCs/>
          <w:sz w:val="22"/>
          <w:szCs w:val="22"/>
          <w:lang w:eastAsia="de-DE"/>
        </w:rPr>
        <w:t>respective</w:t>
      </w:r>
      <w:r w:rsidR="00177C03" w:rsidRPr="00DA2290">
        <w:rPr>
          <w:rFonts w:ascii="Verdana" w:hAnsi="Verdana" w:cs="EUAlbertina"/>
          <w:color w:val="000000"/>
          <w:sz w:val="22"/>
          <w:szCs w:val="22"/>
        </w:rPr>
        <w:t xml:space="preserve"> number, title of the section(s) and </w:t>
      </w:r>
      <w:r w:rsidR="00177C03" w:rsidRPr="00DA2290">
        <w:rPr>
          <w:rFonts w:ascii="Verdana" w:hAnsi="Verdana"/>
          <w:bCs/>
          <w:sz w:val="22"/>
          <w:szCs w:val="22"/>
          <w:lang w:eastAsia="de-DE"/>
        </w:rPr>
        <w:t>official names of the</w:t>
      </w:r>
      <w:r w:rsidR="00177C03" w:rsidRPr="00DA2290">
        <w:rPr>
          <w:rFonts w:ascii="Verdana" w:hAnsi="Verdana" w:cs="EUAlbertina"/>
          <w:color w:val="000000"/>
          <w:sz w:val="22"/>
          <w:szCs w:val="22"/>
        </w:rPr>
        <w:t xml:space="preserve"> relevant acts and other relevant instruments, </w:t>
      </w:r>
      <w:r w:rsidR="00DC57A2" w:rsidRPr="00DA2290">
        <w:rPr>
          <w:rFonts w:ascii="Verdana" w:hAnsi="Verdana" w:cs="EUAlbertina"/>
          <w:color w:val="000000"/>
          <w:sz w:val="22"/>
          <w:szCs w:val="22"/>
        </w:rPr>
        <w:t>if applicable.</w:t>
      </w:r>
    </w:p>
    <w:p w:rsidR="00177C03" w:rsidRPr="00DA2290" w:rsidRDefault="00177C03" w:rsidP="004D2CA4">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bCs/>
          <w:sz w:val="22"/>
          <w:szCs w:val="22"/>
          <w:lang w:eastAsia="de-DE"/>
        </w:rPr>
        <w:t>hyperlinks</w:t>
      </w:r>
      <w:r w:rsidRPr="00DA2290">
        <w:rPr>
          <w:rFonts w:ascii="Verdana" w:hAnsi="Verdana" w:cs="EUAlbertina"/>
          <w:color w:val="000000"/>
          <w:sz w:val="22"/>
          <w:szCs w:val="22"/>
        </w:rPr>
        <w:t xml:space="preserve"> to the relevant section of the website containing the full text of the </w:t>
      </w:r>
      <w:r w:rsidR="00B61655" w:rsidRPr="00DA2290">
        <w:rPr>
          <w:rFonts w:ascii="Verdana" w:hAnsi="Verdana" w:cs="EUAlbertina"/>
          <w:color w:val="000000"/>
          <w:sz w:val="22"/>
          <w:szCs w:val="22"/>
        </w:rPr>
        <w:t>acts</w:t>
      </w:r>
      <w:r w:rsidR="00DC57A2" w:rsidRPr="00DA2290">
        <w:rPr>
          <w:rFonts w:ascii="Verdana" w:hAnsi="Verdana" w:cs="EUAlbertina"/>
          <w:color w:val="000000"/>
          <w:sz w:val="22"/>
          <w:szCs w:val="22"/>
        </w:rPr>
        <w:t xml:space="preserve"> and other relevant instruments, where </w:t>
      </w:r>
      <w:r w:rsidR="00B61655" w:rsidRPr="00DA2290">
        <w:rPr>
          <w:rFonts w:ascii="Verdana" w:hAnsi="Verdana" w:cs="EUAlbertina"/>
          <w:color w:val="000000"/>
          <w:sz w:val="22"/>
          <w:szCs w:val="22"/>
        </w:rPr>
        <w:t>available</w:t>
      </w:r>
      <w:r w:rsidRPr="00DA2290">
        <w:rPr>
          <w:rFonts w:ascii="Verdana" w:hAnsi="Verdana" w:cs="EUAlbertina"/>
          <w:color w:val="000000"/>
          <w:sz w:val="22"/>
          <w:szCs w:val="22"/>
        </w:rPr>
        <w:t>.</w:t>
      </w:r>
    </w:p>
    <w:p w:rsidR="00177C03" w:rsidRPr="00DA2290" w:rsidRDefault="00177C03" w:rsidP="004D2CA4">
      <w:pPr>
        <w:numPr>
          <w:ilvl w:val="0"/>
          <w:numId w:val="39"/>
        </w:numPr>
        <w:tabs>
          <w:tab w:val="left" w:pos="993"/>
        </w:tabs>
        <w:spacing w:line="276" w:lineRule="auto"/>
        <w:ind w:left="993" w:hanging="426"/>
        <w:jc w:val="both"/>
        <w:rPr>
          <w:rFonts w:ascii="Verdana" w:hAnsi="Verdana" w:cs="EUAlbertina"/>
          <w:color w:val="000000"/>
          <w:sz w:val="22"/>
          <w:szCs w:val="22"/>
        </w:rPr>
      </w:pPr>
      <w:r w:rsidRPr="00DA2290">
        <w:rPr>
          <w:rFonts w:ascii="Verdana" w:hAnsi="Verdana" w:cs="EUAlbertina"/>
          <w:color w:val="000000"/>
          <w:sz w:val="22"/>
          <w:szCs w:val="22"/>
        </w:rPr>
        <w:t xml:space="preserve">In </w:t>
      </w:r>
      <w:r w:rsidRPr="00DA2290">
        <w:rPr>
          <w:rFonts w:ascii="Verdana" w:hAnsi="Verdana"/>
          <w:sz w:val="22"/>
        </w:rPr>
        <w:t>addition</w:t>
      </w:r>
      <w:r w:rsidRPr="00DA2290">
        <w:rPr>
          <w:rFonts w:ascii="Verdana" w:hAnsi="Verdana" w:cs="EUAlbertina"/>
          <w:color w:val="000000"/>
          <w:sz w:val="22"/>
          <w:szCs w:val="22"/>
        </w:rPr>
        <w:t xml:space="preserve"> under category “Other” competent authority would report on national prudential provisions which are not captured in the template</w:t>
      </w:r>
      <w:r w:rsidR="00163FA7" w:rsidRPr="00DA2290">
        <w:rPr>
          <w:rFonts w:ascii="Verdana" w:hAnsi="Verdana" w:cs="EUAlbertina"/>
          <w:color w:val="000000"/>
          <w:sz w:val="22"/>
          <w:szCs w:val="22"/>
        </w:rPr>
        <w:t xml:space="preserve"> list</w:t>
      </w:r>
      <w:r w:rsidRPr="00DA2290">
        <w:rPr>
          <w:rFonts w:ascii="Verdana" w:hAnsi="Verdana" w:cs="EUAlbertina"/>
          <w:color w:val="000000"/>
          <w:sz w:val="22"/>
          <w:szCs w:val="22"/>
        </w:rPr>
        <w:t xml:space="preserve">. </w:t>
      </w:r>
    </w:p>
    <w:p w:rsidR="00FF20EE" w:rsidRPr="00DA2290" w:rsidRDefault="00177C03" w:rsidP="00177C03">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cs="EUAlbertina"/>
          <w:color w:val="000000"/>
          <w:sz w:val="22"/>
          <w:szCs w:val="22"/>
        </w:rPr>
        <w:t xml:space="preserve">In order to </w:t>
      </w:r>
      <w:r w:rsidRPr="00DA2290">
        <w:rPr>
          <w:rFonts w:ascii="Verdana" w:hAnsi="Verdana"/>
          <w:sz w:val="22"/>
          <w:szCs w:val="22"/>
        </w:rPr>
        <w:t>minimize</w:t>
      </w:r>
      <w:r w:rsidRPr="00DA2290">
        <w:rPr>
          <w:rFonts w:ascii="Verdana" w:hAnsi="Verdana" w:cs="EUAlbertina"/>
          <w:color w:val="000000"/>
          <w:sz w:val="22"/>
          <w:szCs w:val="22"/>
        </w:rPr>
        <w:t xml:space="preserve"> costs EIOPA suggests that this template should be delivered in an electronic format.</w:t>
      </w:r>
    </w:p>
    <w:p w:rsidR="006C3B31" w:rsidRPr="00DA2290" w:rsidRDefault="00B6224E" w:rsidP="006C3B31">
      <w:pPr>
        <w:tabs>
          <w:tab w:val="num" w:pos="1980"/>
        </w:tabs>
        <w:autoSpaceDE w:val="0"/>
        <w:autoSpaceDN w:val="0"/>
        <w:adjustRightInd w:val="0"/>
        <w:spacing w:before="120"/>
        <w:jc w:val="both"/>
        <w:rPr>
          <w:rFonts w:ascii="Verdana" w:hAnsi="Verdana"/>
          <w:b/>
          <w:i/>
          <w:sz w:val="22"/>
          <w:u w:val="single"/>
        </w:rPr>
      </w:pPr>
      <w:r w:rsidRPr="00DA2290">
        <w:rPr>
          <w:rFonts w:ascii="Verdana" w:hAnsi="Verdana"/>
          <w:b/>
          <w:i/>
          <w:sz w:val="22"/>
          <w:u w:val="single"/>
        </w:rPr>
        <w:t>Comparison of</w:t>
      </w:r>
      <w:r w:rsidRPr="00DA2290">
        <w:rPr>
          <w:rFonts w:ascii="Verdana" w:hAnsi="Verdana"/>
          <w:sz w:val="22"/>
          <w:szCs w:val="22"/>
          <w:u w:val="single"/>
        </w:rPr>
        <w:t xml:space="preserve"> </w:t>
      </w:r>
      <w:r w:rsidRPr="00DA2290">
        <w:rPr>
          <w:rFonts w:ascii="Verdana" w:hAnsi="Verdana"/>
          <w:b/>
          <w:i/>
          <w:sz w:val="22"/>
          <w:u w:val="single"/>
        </w:rPr>
        <w:t>p</w:t>
      </w:r>
      <w:r w:rsidR="006C3B31" w:rsidRPr="00DA2290">
        <w:rPr>
          <w:rFonts w:ascii="Verdana" w:hAnsi="Verdana"/>
          <w:b/>
          <w:i/>
          <w:sz w:val="22"/>
          <w:u w:val="single"/>
        </w:rPr>
        <w:t xml:space="preserve">olicy options </w:t>
      </w:r>
      <w:r w:rsidRPr="00DA2290">
        <w:rPr>
          <w:rFonts w:ascii="Verdana" w:hAnsi="Verdana"/>
          <w:b/>
          <w:i/>
          <w:sz w:val="22"/>
          <w:u w:val="single"/>
        </w:rPr>
        <w:t xml:space="preserve">under </w:t>
      </w:r>
      <w:r w:rsidR="007E254D" w:rsidRPr="00DA2290">
        <w:rPr>
          <w:rFonts w:ascii="Verdana" w:hAnsi="Verdana"/>
          <w:b/>
          <w:i/>
          <w:sz w:val="22"/>
          <w:u w:val="single"/>
        </w:rPr>
        <w:t>S</w:t>
      </w:r>
      <w:r w:rsidRPr="00DA2290">
        <w:rPr>
          <w:rFonts w:ascii="Verdana" w:hAnsi="Verdana"/>
          <w:b/>
          <w:i/>
          <w:sz w:val="22"/>
          <w:u w:val="single"/>
        </w:rPr>
        <w:t>et 2</w:t>
      </w:r>
      <w:r w:rsidR="006C3B31" w:rsidRPr="00DA2290">
        <w:rPr>
          <w:rFonts w:ascii="Verdana" w:hAnsi="Verdana"/>
          <w:b/>
          <w:i/>
          <w:sz w:val="22"/>
          <w:u w:val="single"/>
        </w:rPr>
        <w:t>:</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bCs/>
          <w:sz w:val="22"/>
          <w:szCs w:val="22"/>
          <w:u w:val="single"/>
          <w:lang w:eastAsia="de-DE"/>
        </w:rPr>
      </w:pPr>
      <w:r w:rsidRPr="00DA2290">
        <w:rPr>
          <w:rFonts w:ascii="Verdana" w:hAnsi="Verdana"/>
          <w:bCs/>
          <w:sz w:val="22"/>
          <w:szCs w:val="22"/>
          <w:lang w:eastAsia="de-DE"/>
        </w:rPr>
        <w:t xml:space="preserve">According </w:t>
      </w:r>
      <w:r w:rsidRPr="00DA2290">
        <w:rPr>
          <w:rFonts w:ascii="Verdana" w:hAnsi="Verdana"/>
          <w:sz w:val="22"/>
          <w:szCs w:val="22"/>
        </w:rPr>
        <w:t>to</w:t>
      </w:r>
      <w:r w:rsidRPr="00DA2290">
        <w:rPr>
          <w:rFonts w:ascii="Verdana" w:hAnsi="Verdana"/>
          <w:bCs/>
          <w:sz w:val="22"/>
          <w:szCs w:val="22"/>
          <w:lang w:eastAsia="de-DE"/>
        </w:rPr>
        <w:t xml:space="preserve"> Article 20(11) of the IORP Directive, Member States are required to </w:t>
      </w:r>
      <w:r w:rsidRPr="00DA2290">
        <w:rPr>
          <w:rFonts w:ascii="Verdana" w:hAnsi="Verdana"/>
          <w:sz w:val="22"/>
          <w:szCs w:val="22"/>
        </w:rPr>
        <w:t>update</w:t>
      </w:r>
      <w:r w:rsidRPr="00DA2290">
        <w:rPr>
          <w:rFonts w:ascii="Verdana" w:hAnsi="Verdana"/>
          <w:bCs/>
          <w:sz w:val="22"/>
          <w:szCs w:val="22"/>
          <w:lang w:eastAsia="de-DE"/>
        </w:rPr>
        <w:t xml:space="preserve"> the information on</w:t>
      </w:r>
      <w:r w:rsidR="00505AC6" w:rsidRPr="00DA2290">
        <w:rPr>
          <w:rFonts w:ascii="Verdana" w:hAnsi="Verdana"/>
          <w:bCs/>
          <w:sz w:val="22"/>
          <w:szCs w:val="22"/>
          <w:lang w:eastAsia="de-DE"/>
        </w:rPr>
        <w:t xml:space="preserve"> </w:t>
      </w:r>
      <w:r w:rsidR="00545C92" w:rsidRPr="00DA2290">
        <w:rPr>
          <w:rFonts w:ascii="Verdana" w:hAnsi="Verdana"/>
          <w:bCs/>
          <w:sz w:val="22"/>
          <w:szCs w:val="22"/>
          <w:lang w:eastAsia="de-DE"/>
        </w:rPr>
        <w:t>n</w:t>
      </w:r>
      <w:r w:rsidR="00505AC6" w:rsidRPr="00DA2290">
        <w:rPr>
          <w:rFonts w:ascii="Verdana" w:hAnsi="Verdana"/>
          <w:bCs/>
          <w:sz w:val="22"/>
          <w:szCs w:val="22"/>
          <w:lang w:eastAsia="de-DE"/>
        </w:rPr>
        <w:t>ational</w:t>
      </w:r>
      <w:r w:rsidRPr="00DA2290">
        <w:rPr>
          <w:rFonts w:ascii="Verdana" w:hAnsi="Verdana"/>
          <w:bCs/>
          <w:sz w:val="22"/>
          <w:szCs w:val="22"/>
          <w:lang w:eastAsia="de-DE"/>
        </w:rPr>
        <w:t xml:space="preserve"> prudential </w:t>
      </w:r>
      <w:r w:rsidR="00505AC6" w:rsidRPr="00DA2290">
        <w:rPr>
          <w:rFonts w:ascii="Verdana" w:hAnsi="Verdana"/>
          <w:bCs/>
          <w:sz w:val="22"/>
          <w:szCs w:val="22"/>
          <w:lang w:eastAsia="de-DE"/>
        </w:rPr>
        <w:t xml:space="preserve">provisions </w:t>
      </w:r>
      <w:r w:rsidRPr="00DA2290">
        <w:rPr>
          <w:rFonts w:ascii="Verdana" w:hAnsi="Verdana"/>
          <w:bCs/>
          <w:sz w:val="22"/>
          <w:szCs w:val="22"/>
          <w:lang w:eastAsia="de-DE"/>
        </w:rPr>
        <w:t>on a regular basis</w:t>
      </w:r>
      <w:r w:rsidRPr="00DA2290">
        <w:rPr>
          <w:rFonts w:ascii="Verdana" w:hAnsi="Verdana"/>
          <w:sz w:val="22"/>
          <w:szCs w:val="22"/>
        </w:rPr>
        <w:t xml:space="preserve"> and </w:t>
      </w:r>
      <w:r w:rsidRPr="00DA2290">
        <w:rPr>
          <w:rFonts w:ascii="Verdana" w:hAnsi="Verdana"/>
          <w:bCs/>
          <w:sz w:val="22"/>
          <w:szCs w:val="22"/>
          <w:lang w:eastAsia="de-DE"/>
        </w:rPr>
        <w:t>at least every 2 years. This requirement could be implemented by either of the following ways:</w:t>
      </w:r>
      <w:r w:rsidRPr="00DA2290">
        <w:rPr>
          <w:rFonts w:ascii="Verdana" w:hAnsi="Verdana"/>
          <w:bCs/>
          <w:sz w:val="22"/>
          <w:szCs w:val="22"/>
          <w:u w:val="single"/>
          <w:lang w:eastAsia="de-DE"/>
        </w:rPr>
        <w:t xml:space="preserve"> </w:t>
      </w:r>
    </w:p>
    <w:p w:rsidR="006C3B31" w:rsidRPr="00DA2290" w:rsidRDefault="007E254D" w:rsidP="004D2CA4">
      <w:pPr>
        <w:numPr>
          <w:ilvl w:val="0"/>
          <w:numId w:val="39"/>
        </w:numPr>
        <w:tabs>
          <w:tab w:val="left" w:pos="993"/>
        </w:tabs>
        <w:spacing w:line="276" w:lineRule="auto"/>
        <w:ind w:left="993" w:hanging="426"/>
        <w:jc w:val="both"/>
        <w:rPr>
          <w:rFonts w:ascii="Verdana" w:hAnsi="Verdana" w:cs="Arial"/>
          <w:sz w:val="22"/>
          <w:szCs w:val="22"/>
        </w:rPr>
      </w:pPr>
      <w:r w:rsidRPr="00DA2290">
        <w:rPr>
          <w:rFonts w:ascii="Verdana" w:hAnsi="Verdana" w:cs="Arial"/>
          <w:b/>
          <w:sz w:val="22"/>
          <w:szCs w:val="22"/>
        </w:rPr>
        <w:t>O</w:t>
      </w:r>
      <w:r w:rsidR="006C3B31" w:rsidRPr="00DA2290">
        <w:rPr>
          <w:rFonts w:ascii="Verdana" w:hAnsi="Verdana" w:cs="Arial"/>
          <w:b/>
          <w:sz w:val="22"/>
          <w:szCs w:val="22"/>
        </w:rPr>
        <w:t>ption</w:t>
      </w:r>
      <w:r w:rsidR="00246A2E" w:rsidRPr="00DA2290">
        <w:rPr>
          <w:rFonts w:ascii="Verdana" w:hAnsi="Verdana" w:cs="Arial"/>
          <w:b/>
          <w:sz w:val="22"/>
          <w:szCs w:val="22"/>
        </w:rPr>
        <w:t xml:space="preserve"> </w:t>
      </w:r>
      <w:r w:rsidR="00BC7522" w:rsidRPr="00DA2290">
        <w:rPr>
          <w:rFonts w:ascii="Verdana" w:hAnsi="Verdana" w:cs="Arial"/>
          <w:b/>
          <w:sz w:val="22"/>
          <w:szCs w:val="22"/>
        </w:rPr>
        <w:t>2.</w:t>
      </w:r>
      <w:r w:rsidR="006C3B31" w:rsidRPr="00DA2290">
        <w:rPr>
          <w:rFonts w:ascii="Verdana" w:hAnsi="Verdana" w:cs="Arial"/>
          <w:b/>
          <w:sz w:val="22"/>
          <w:szCs w:val="22"/>
        </w:rPr>
        <w:t xml:space="preserve"> </w:t>
      </w:r>
      <w:r w:rsidRPr="00DA2290">
        <w:rPr>
          <w:rFonts w:ascii="Verdana" w:hAnsi="Verdana" w:cs="Arial"/>
          <w:b/>
          <w:sz w:val="22"/>
          <w:szCs w:val="22"/>
        </w:rPr>
        <w:t>1</w:t>
      </w:r>
      <w:r w:rsidR="006C3B31" w:rsidRPr="00DA2290">
        <w:rPr>
          <w:rFonts w:ascii="Verdana" w:hAnsi="Verdana" w:cs="Arial"/>
          <w:sz w:val="22"/>
          <w:szCs w:val="22"/>
        </w:rPr>
        <w:t xml:space="preserve"> - to require t</w:t>
      </w:r>
      <w:r w:rsidR="006C3B31" w:rsidRPr="00DA2290">
        <w:rPr>
          <w:rFonts w:ascii="Verdana" w:hAnsi="Verdana"/>
          <w:sz w:val="22"/>
          <w:szCs w:val="22"/>
        </w:rPr>
        <w:t xml:space="preserve">he competent authorities to transmit to EIOPA information on </w:t>
      </w:r>
      <w:r w:rsidR="006C3B31" w:rsidRPr="00DA2290">
        <w:rPr>
          <w:rFonts w:ascii="Verdana" w:hAnsi="Verdana"/>
          <w:bCs/>
          <w:sz w:val="22"/>
          <w:szCs w:val="22"/>
          <w:lang w:eastAsia="de-DE"/>
        </w:rPr>
        <w:t>prudential</w:t>
      </w:r>
      <w:r w:rsidR="006C3B31" w:rsidRPr="00DA2290">
        <w:rPr>
          <w:rFonts w:ascii="Verdana" w:hAnsi="Verdana"/>
          <w:sz w:val="22"/>
          <w:szCs w:val="22"/>
        </w:rPr>
        <w:t xml:space="preserve"> rules every two years and report to EIOPA on any “significant change” in the national provisions</w:t>
      </w:r>
      <w:r w:rsidR="0052376D" w:rsidRPr="00DA2290">
        <w:rPr>
          <w:rFonts w:ascii="Verdana" w:hAnsi="Verdana"/>
          <w:sz w:val="22"/>
          <w:szCs w:val="22"/>
        </w:rPr>
        <w:t>.</w:t>
      </w:r>
      <w:r w:rsidR="006C3B31" w:rsidRPr="00DA2290">
        <w:rPr>
          <w:rFonts w:ascii="Verdana" w:hAnsi="Verdana" w:cs="Arial"/>
          <w:sz w:val="22"/>
          <w:szCs w:val="22"/>
        </w:rPr>
        <w:t xml:space="preserve"> </w:t>
      </w:r>
    </w:p>
    <w:p w:rsidR="006C3B31" w:rsidRPr="00DA2290" w:rsidRDefault="007E254D" w:rsidP="004D2CA4">
      <w:pPr>
        <w:numPr>
          <w:ilvl w:val="0"/>
          <w:numId w:val="39"/>
        </w:numPr>
        <w:tabs>
          <w:tab w:val="left" w:pos="993"/>
        </w:tabs>
        <w:spacing w:line="276" w:lineRule="auto"/>
        <w:ind w:left="993" w:hanging="426"/>
        <w:jc w:val="both"/>
        <w:rPr>
          <w:sz w:val="22"/>
          <w:szCs w:val="22"/>
        </w:rPr>
      </w:pPr>
      <w:r w:rsidRPr="00DA2290">
        <w:rPr>
          <w:rFonts w:ascii="Verdana" w:hAnsi="Verdana" w:cs="Arial"/>
          <w:b/>
          <w:sz w:val="22"/>
          <w:szCs w:val="22"/>
        </w:rPr>
        <w:t>O</w:t>
      </w:r>
      <w:r w:rsidR="006C3B31" w:rsidRPr="00DA2290">
        <w:rPr>
          <w:rFonts w:ascii="Verdana" w:hAnsi="Verdana" w:cs="Arial"/>
          <w:b/>
          <w:sz w:val="22"/>
          <w:szCs w:val="22"/>
        </w:rPr>
        <w:t xml:space="preserve">ption </w:t>
      </w:r>
      <w:r w:rsidR="00BC7522" w:rsidRPr="00DA2290">
        <w:rPr>
          <w:rFonts w:ascii="Verdana" w:hAnsi="Verdana" w:cs="Arial"/>
          <w:b/>
          <w:sz w:val="22"/>
          <w:szCs w:val="22"/>
        </w:rPr>
        <w:t>2.</w:t>
      </w:r>
      <w:r w:rsidRPr="00DA2290">
        <w:rPr>
          <w:rFonts w:ascii="Verdana" w:hAnsi="Verdana" w:cs="Arial"/>
          <w:b/>
          <w:sz w:val="22"/>
          <w:szCs w:val="22"/>
        </w:rPr>
        <w:t>2</w:t>
      </w:r>
      <w:r w:rsidR="006C3B31" w:rsidRPr="00DA2290">
        <w:rPr>
          <w:rFonts w:ascii="Verdana" w:hAnsi="Verdana" w:cs="Arial"/>
          <w:sz w:val="22"/>
          <w:szCs w:val="22"/>
        </w:rPr>
        <w:t xml:space="preserve"> – not to </w:t>
      </w:r>
      <w:r w:rsidR="006C3B31" w:rsidRPr="00DA2290">
        <w:rPr>
          <w:rFonts w:ascii="Verdana" w:hAnsi="Verdana"/>
          <w:bCs/>
          <w:sz w:val="22"/>
          <w:szCs w:val="22"/>
          <w:lang w:eastAsia="de-DE"/>
        </w:rPr>
        <w:t>transfer</w:t>
      </w:r>
      <w:r w:rsidR="006C3B31" w:rsidRPr="00DA2290">
        <w:rPr>
          <w:rFonts w:ascii="Verdana" w:hAnsi="Verdana" w:cs="Arial"/>
          <w:sz w:val="22"/>
          <w:szCs w:val="22"/>
        </w:rPr>
        <w:t xml:space="preserve"> “significant change” updates to EIOPA. However, to ensure that the information on EIOPA website remains as </w:t>
      </w:r>
      <w:r w:rsidR="00974BF6" w:rsidRPr="00DA2290">
        <w:rPr>
          <w:rFonts w:ascii="Verdana" w:hAnsi="Verdana" w:cs="Arial"/>
          <w:sz w:val="22"/>
          <w:szCs w:val="22"/>
        </w:rPr>
        <w:t>current</w:t>
      </w:r>
      <w:r w:rsidR="006C3B31" w:rsidRPr="00DA2290">
        <w:rPr>
          <w:rFonts w:ascii="Verdana" w:hAnsi="Verdana" w:cs="Arial"/>
          <w:sz w:val="22"/>
          <w:szCs w:val="22"/>
        </w:rPr>
        <w:t xml:space="preserve"> as possible, the competent authorities would be required to submit to EIOPA </w:t>
      </w:r>
      <w:r w:rsidR="00974BF6" w:rsidRPr="00DA2290">
        <w:rPr>
          <w:rFonts w:ascii="Verdana" w:hAnsi="Verdana" w:cs="Arial"/>
          <w:sz w:val="22"/>
          <w:szCs w:val="22"/>
        </w:rPr>
        <w:t xml:space="preserve">complete </w:t>
      </w:r>
      <w:r w:rsidR="006C3B31" w:rsidRPr="00DA2290">
        <w:rPr>
          <w:rFonts w:ascii="Verdana" w:hAnsi="Verdana" w:cs="Arial"/>
          <w:sz w:val="22"/>
          <w:szCs w:val="22"/>
        </w:rPr>
        <w:t>templates annually instead of</w:t>
      </w:r>
      <w:r w:rsidR="00BC7522" w:rsidRPr="00DA2290">
        <w:rPr>
          <w:rFonts w:ascii="Verdana" w:hAnsi="Verdana" w:cs="Arial"/>
          <w:sz w:val="22"/>
          <w:szCs w:val="22"/>
        </w:rPr>
        <w:t xml:space="preserve"> on</w:t>
      </w:r>
      <w:r w:rsidR="006C3B31" w:rsidRPr="00DA2290">
        <w:rPr>
          <w:rFonts w:ascii="Verdana" w:hAnsi="Verdana" w:cs="Arial"/>
          <w:sz w:val="22"/>
          <w:szCs w:val="22"/>
        </w:rPr>
        <w:t xml:space="preserve"> two</w:t>
      </w:r>
      <w:r w:rsidR="00BC7522" w:rsidRPr="00DA2290">
        <w:rPr>
          <w:rFonts w:ascii="Verdana" w:hAnsi="Verdana" w:cs="Arial"/>
          <w:sz w:val="22"/>
          <w:szCs w:val="22"/>
        </w:rPr>
        <w:t>-</w:t>
      </w:r>
      <w:r w:rsidR="006C3B31" w:rsidRPr="00DA2290">
        <w:rPr>
          <w:rFonts w:ascii="Verdana" w:hAnsi="Verdana" w:cs="Arial"/>
          <w:sz w:val="22"/>
          <w:szCs w:val="22"/>
        </w:rPr>
        <w:t xml:space="preserve">year basis as stipulated by Article 20(11).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cs="Arial"/>
          <w:sz w:val="22"/>
          <w:szCs w:val="22"/>
        </w:rPr>
      </w:pPr>
      <w:r w:rsidRPr="00DA2290">
        <w:rPr>
          <w:rFonts w:ascii="Verdana" w:hAnsi="Verdana" w:cs="Arial"/>
          <w:b/>
          <w:sz w:val="22"/>
          <w:szCs w:val="22"/>
        </w:rPr>
        <w:t xml:space="preserve">Positive </w:t>
      </w:r>
      <w:r w:rsidRPr="00DA2290">
        <w:rPr>
          <w:rFonts w:ascii="Verdana" w:hAnsi="Verdana"/>
          <w:b/>
          <w:sz w:val="22"/>
          <w:szCs w:val="22"/>
        </w:rPr>
        <w:t>impacts</w:t>
      </w:r>
      <w:r w:rsidRPr="00DA2290">
        <w:rPr>
          <w:rFonts w:ascii="Verdana" w:hAnsi="Verdana" w:cs="Arial"/>
          <w:b/>
          <w:sz w:val="22"/>
          <w:szCs w:val="22"/>
        </w:rPr>
        <w:t xml:space="preserve"> of </w:t>
      </w:r>
      <w:r w:rsidR="007E254D" w:rsidRPr="00DA2290">
        <w:rPr>
          <w:rFonts w:ascii="Verdana" w:hAnsi="Verdana" w:cs="Arial"/>
          <w:b/>
          <w:sz w:val="22"/>
          <w:szCs w:val="22"/>
        </w:rPr>
        <w:t xml:space="preserve">Option </w:t>
      </w:r>
      <w:r w:rsidR="00BC7522" w:rsidRPr="00DA2290">
        <w:rPr>
          <w:rFonts w:ascii="Verdana" w:hAnsi="Verdana" w:cs="Arial"/>
          <w:b/>
          <w:sz w:val="22"/>
          <w:szCs w:val="22"/>
        </w:rPr>
        <w:t>2.</w:t>
      </w:r>
      <w:r w:rsidR="007E254D" w:rsidRPr="00DA2290">
        <w:rPr>
          <w:rFonts w:ascii="Verdana" w:hAnsi="Verdana" w:cs="Arial"/>
          <w:b/>
          <w:sz w:val="22"/>
          <w:szCs w:val="22"/>
        </w:rPr>
        <w:t>1</w:t>
      </w:r>
      <w:r w:rsidRPr="00DA2290">
        <w:rPr>
          <w:rFonts w:ascii="Verdana" w:hAnsi="Verdana" w:cs="Arial"/>
          <w:sz w:val="22"/>
          <w:szCs w:val="22"/>
        </w:rPr>
        <w:t xml:space="preserve"> can be summarised as follows: </w:t>
      </w:r>
    </w:p>
    <w:p w:rsidR="006C3B31" w:rsidRPr="00DA2290" w:rsidRDefault="0052376D" w:rsidP="004D2CA4">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T</w:t>
      </w:r>
      <w:r w:rsidR="006C3B31" w:rsidRPr="00DA2290">
        <w:rPr>
          <w:rFonts w:ascii="Verdana" w:hAnsi="Verdana"/>
          <w:bCs/>
          <w:sz w:val="22"/>
          <w:szCs w:val="22"/>
          <w:lang w:eastAsia="de-DE"/>
        </w:rPr>
        <w:t xml:space="preserve">he </w:t>
      </w:r>
      <w:r w:rsidR="006C3B31" w:rsidRPr="00DA2290">
        <w:rPr>
          <w:rFonts w:ascii="Verdana" w:hAnsi="Verdana" w:cs="Arial"/>
          <w:sz w:val="22"/>
          <w:szCs w:val="22"/>
        </w:rPr>
        <w:t>information</w:t>
      </w:r>
      <w:r w:rsidR="006C3B31" w:rsidRPr="00DA2290">
        <w:rPr>
          <w:rFonts w:ascii="Verdana" w:hAnsi="Verdana"/>
          <w:bCs/>
          <w:sz w:val="22"/>
          <w:szCs w:val="22"/>
          <w:lang w:eastAsia="de-DE"/>
        </w:rPr>
        <w:t xml:space="preserve"> about national provisions of prudential nature on the EIOPA website will be more up to date</w:t>
      </w:r>
      <w:r w:rsidRPr="00DA2290">
        <w:rPr>
          <w:rFonts w:ascii="Verdana" w:hAnsi="Verdana"/>
          <w:bCs/>
          <w:sz w:val="22"/>
          <w:szCs w:val="22"/>
          <w:lang w:eastAsia="de-DE"/>
        </w:rPr>
        <w:t>.</w:t>
      </w:r>
      <w:r w:rsidR="006C3B31" w:rsidRPr="00DA2290">
        <w:rPr>
          <w:rFonts w:ascii="Verdana" w:hAnsi="Verdana"/>
          <w:bCs/>
          <w:sz w:val="22"/>
          <w:szCs w:val="22"/>
          <w:lang w:eastAsia="de-DE"/>
        </w:rPr>
        <w:t xml:space="preserve"> </w:t>
      </w:r>
    </w:p>
    <w:p w:rsidR="006C3B31" w:rsidRPr="00DA2290" w:rsidRDefault="0052376D" w:rsidP="004D2CA4">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C</w:t>
      </w:r>
      <w:r w:rsidR="006C3B31" w:rsidRPr="00DA2290">
        <w:rPr>
          <w:rFonts w:ascii="Verdana" w:hAnsi="Verdana"/>
          <w:bCs/>
          <w:sz w:val="22"/>
          <w:szCs w:val="22"/>
          <w:lang w:eastAsia="de-DE"/>
        </w:rPr>
        <w:t>onsequently the information will be more useful to stakeholders.</w:t>
      </w:r>
    </w:p>
    <w:p w:rsidR="006C3B31" w:rsidRPr="00DA2290" w:rsidRDefault="006C3B31" w:rsidP="00972D7F">
      <w:pPr>
        <w:numPr>
          <w:ilvl w:val="0"/>
          <w:numId w:val="40"/>
        </w:numPr>
        <w:autoSpaceDE w:val="0"/>
        <w:autoSpaceDN w:val="0"/>
        <w:adjustRightInd w:val="0"/>
        <w:spacing w:before="120" w:line="276" w:lineRule="auto"/>
        <w:ind w:left="567" w:hanging="567"/>
        <w:jc w:val="both"/>
        <w:rPr>
          <w:rFonts w:ascii="Verdana" w:hAnsi="Verdana"/>
          <w:bCs/>
          <w:sz w:val="22"/>
          <w:szCs w:val="22"/>
          <w:lang w:eastAsia="de-DE"/>
        </w:rPr>
      </w:pPr>
      <w:r w:rsidRPr="00DA2290">
        <w:rPr>
          <w:rFonts w:ascii="Verdana" w:hAnsi="Verdana"/>
          <w:b/>
          <w:bCs/>
          <w:sz w:val="22"/>
          <w:szCs w:val="22"/>
          <w:lang w:eastAsia="de-DE"/>
        </w:rPr>
        <w:t xml:space="preserve">Negative </w:t>
      </w:r>
      <w:r w:rsidRPr="00DA2290">
        <w:rPr>
          <w:rFonts w:ascii="Verdana" w:hAnsi="Verdana" w:cs="Arial"/>
          <w:b/>
          <w:sz w:val="22"/>
          <w:szCs w:val="22"/>
        </w:rPr>
        <w:t>impacts</w:t>
      </w:r>
      <w:r w:rsidRPr="00DA2290">
        <w:rPr>
          <w:rFonts w:ascii="Verdana" w:hAnsi="Verdana"/>
          <w:b/>
          <w:bCs/>
          <w:sz w:val="22"/>
          <w:szCs w:val="22"/>
          <w:lang w:eastAsia="de-DE"/>
        </w:rPr>
        <w:t xml:space="preserve"> of </w:t>
      </w:r>
      <w:r w:rsidR="007E254D" w:rsidRPr="00DA2290">
        <w:rPr>
          <w:rFonts w:ascii="Verdana" w:hAnsi="Verdana" w:cs="Arial"/>
          <w:b/>
          <w:sz w:val="22"/>
          <w:szCs w:val="22"/>
        </w:rPr>
        <w:t xml:space="preserve">Option </w:t>
      </w:r>
      <w:r w:rsidR="00BC7522" w:rsidRPr="00DA2290">
        <w:rPr>
          <w:rFonts w:ascii="Verdana" w:hAnsi="Verdana" w:cs="Arial"/>
          <w:b/>
          <w:sz w:val="22"/>
          <w:szCs w:val="22"/>
        </w:rPr>
        <w:t>2.</w:t>
      </w:r>
      <w:r w:rsidR="007E254D" w:rsidRPr="00DA2290">
        <w:rPr>
          <w:rFonts w:ascii="Verdana" w:hAnsi="Verdana" w:cs="Arial"/>
          <w:b/>
          <w:sz w:val="22"/>
          <w:szCs w:val="22"/>
        </w:rPr>
        <w:t>1</w:t>
      </w:r>
      <w:r w:rsidRPr="00DA2290">
        <w:rPr>
          <w:rFonts w:ascii="Verdana" w:hAnsi="Verdana"/>
          <w:b/>
          <w:bCs/>
          <w:sz w:val="22"/>
          <w:szCs w:val="22"/>
          <w:lang w:eastAsia="de-DE"/>
        </w:rPr>
        <w:t xml:space="preserve"> </w:t>
      </w:r>
      <w:r w:rsidRPr="00DA2290">
        <w:rPr>
          <w:rFonts w:ascii="Verdana" w:hAnsi="Verdana"/>
          <w:bCs/>
          <w:sz w:val="22"/>
          <w:szCs w:val="22"/>
          <w:lang w:eastAsia="de-DE"/>
        </w:rPr>
        <w:t>are as follows:</w:t>
      </w:r>
    </w:p>
    <w:p w:rsidR="006C3B31" w:rsidRPr="00DA2290" w:rsidRDefault="0052376D" w:rsidP="004D2CA4">
      <w:pPr>
        <w:numPr>
          <w:ilvl w:val="0"/>
          <w:numId w:val="39"/>
        </w:numPr>
        <w:tabs>
          <w:tab w:val="left" w:pos="993"/>
        </w:tabs>
        <w:spacing w:line="276" w:lineRule="auto"/>
        <w:ind w:left="993" w:hanging="426"/>
        <w:jc w:val="both"/>
        <w:rPr>
          <w:rFonts w:ascii="Verdana" w:hAnsi="Verdana" w:cs="Arial"/>
          <w:sz w:val="22"/>
          <w:szCs w:val="22"/>
        </w:rPr>
      </w:pPr>
      <w:r w:rsidRPr="00DA2290">
        <w:rPr>
          <w:rFonts w:ascii="Verdana" w:hAnsi="Verdana" w:cs="Arial"/>
          <w:sz w:val="22"/>
          <w:szCs w:val="22"/>
        </w:rPr>
        <w:t>T</w:t>
      </w:r>
      <w:r w:rsidR="006C3B31" w:rsidRPr="00DA2290">
        <w:rPr>
          <w:rFonts w:ascii="Verdana" w:hAnsi="Verdana" w:cs="Arial"/>
          <w:sz w:val="22"/>
          <w:szCs w:val="22"/>
        </w:rPr>
        <w:t>ransmission of information to EIOPA when significant changes occur is not explicitly foreseen in Article 20(11)</w:t>
      </w:r>
      <w:r w:rsidR="00F029D0" w:rsidRPr="00DA2290">
        <w:rPr>
          <w:rFonts w:ascii="Verdana" w:hAnsi="Verdana" w:cs="Arial"/>
          <w:sz w:val="22"/>
          <w:szCs w:val="22"/>
        </w:rPr>
        <w:t>,</w:t>
      </w:r>
      <w:r w:rsidR="006C3B31" w:rsidRPr="00DA2290">
        <w:rPr>
          <w:rFonts w:ascii="Verdana" w:hAnsi="Verdana" w:cs="Arial"/>
          <w:sz w:val="22"/>
          <w:szCs w:val="22"/>
        </w:rPr>
        <w:t xml:space="preserve"> in contrast to the rules on transmitting social and labour law according to Article 20(8) of the IORP Directive; consequently, a requirement to update EIOPA on “</w:t>
      </w:r>
      <w:r w:rsidR="006C3B31" w:rsidRPr="00DA2290">
        <w:rPr>
          <w:rFonts w:ascii="Verdana" w:hAnsi="Verdana"/>
          <w:bCs/>
          <w:sz w:val="22"/>
          <w:szCs w:val="22"/>
          <w:lang w:eastAsia="de-DE"/>
        </w:rPr>
        <w:t>significant</w:t>
      </w:r>
      <w:r w:rsidR="006C3B31" w:rsidRPr="00DA2290">
        <w:rPr>
          <w:rFonts w:ascii="Verdana" w:hAnsi="Verdana" w:cs="Arial"/>
          <w:sz w:val="22"/>
          <w:szCs w:val="22"/>
        </w:rPr>
        <w:t xml:space="preserve"> changes” in the national prudential rules seems to go beyond the empowerment in the IORP Directive</w:t>
      </w:r>
      <w:r w:rsidRPr="00DA2290">
        <w:rPr>
          <w:rFonts w:ascii="Verdana" w:hAnsi="Verdana" w:cs="Arial"/>
          <w:sz w:val="22"/>
          <w:szCs w:val="22"/>
        </w:rPr>
        <w:t>.</w:t>
      </w:r>
    </w:p>
    <w:p w:rsidR="006C3B31" w:rsidRPr="00DA2290" w:rsidRDefault="0052376D" w:rsidP="004D2CA4">
      <w:pPr>
        <w:numPr>
          <w:ilvl w:val="0"/>
          <w:numId w:val="39"/>
        </w:numPr>
        <w:tabs>
          <w:tab w:val="left" w:pos="993"/>
        </w:tabs>
        <w:spacing w:line="276" w:lineRule="auto"/>
        <w:ind w:left="993" w:hanging="426"/>
        <w:jc w:val="both"/>
        <w:rPr>
          <w:rFonts w:ascii="Verdana" w:hAnsi="Verdana" w:cs="Arial"/>
          <w:sz w:val="22"/>
          <w:szCs w:val="22"/>
        </w:rPr>
      </w:pPr>
      <w:r w:rsidRPr="00DA2290">
        <w:rPr>
          <w:rFonts w:ascii="Verdana" w:hAnsi="Verdana" w:cs="Arial"/>
          <w:sz w:val="22"/>
          <w:szCs w:val="22"/>
        </w:rPr>
        <w:t>L</w:t>
      </w:r>
      <w:r w:rsidR="006C3B31" w:rsidRPr="00DA2290">
        <w:rPr>
          <w:rFonts w:ascii="Verdana" w:hAnsi="Verdana" w:cs="Arial"/>
          <w:sz w:val="22"/>
          <w:szCs w:val="22"/>
        </w:rPr>
        <w:t xml:space="preserve">ack of </w:t>
      </w:r>
      <w:r w:rsidR="006C3B31" w:rsidRPr="00DA2290">
        <w:rPr>
          <w:rFonts w:ascii="Verdana" w:hAnsi="Verdana"/>
          <w:bCs/>
          <w:sz w:val="22"/>
          <w:szCs w:val="22"/>
          <w:lang w:eastAsia="de-DE"/>
        </w:rPr>
        <w:t>legal</w:t>
      </w:r>
      <w:r w:rsidR="006C3B31" w:rsidRPr="00DA2290">
        <w:rPr>
          <w:rFonts w:ascii="Verdana" w:hAnsi="Verdana" w:cs="Arial"/>
          <w:sz w:val="22"/>
          <w:szCs w:val="22"/>
        </w:rPr>
        <w:t xml:space="preserve"> clarity due to problems with defining what constitutes a “significant change”; having a wide definition of </w:t>
      </w:r>
      <w:r w:rsidR="00B44EA3" w:rsidRPr="00DA2290">
        <w:rPr>
          <w:rFonts w:ascii="Verdana" w:hAnsi="Verdana" w:cs="Arial"/>
          <w:sz w:val="22"/>
          <w:szCs w:val="22"/>
        </w:rPr>
        <w:t xml:space="preserve">a </w:t>
      </w:r>
      <w:r w:rsidR="006C3B31" w:rsidRPr="00DA2290">
        <w:rPr>
          <w:rFonts w:ascii="Verdana" w:hAnsi="Verdana" w:cs="Arial"/>
          <w:sz w:val="22"/>
          <w:szCs w:val="22"/>
        </w:rPr>
        <w:t>“significant change” could result in a disproportionate burden on competent authorities and increase their compliance costs.</w:t>
      </w:r>
    </w:p>
    <w:p w:rsidR="00655AC9" w:rsidRPr="00DA2290" w:rsidRDefault="00655AC9" w:rsidP="00655AC9">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bCs/>
          <w:sz w:val="22"/>
          <w:szCs w:val="22"/>
          <w:lang w:eastAsia="de-DE"/>
        </w:rPr>
        <w:t>Benefits may be indirectly affected if CAs pass on the costs to IORPs as a result of more frequent reporting.</w:t>
      </w:r>
    </w:p>
    <w:p w:rsidR="006C3B31" w:rsidRPr="00DA2290" w:rsidRDefault="006C3B31" w:rsidP="00972D7F">
      <w:pPr>
        <w:numPr>
          <w:ilvl w:val="0"/>
          <w:numId w:val="40"/>
        </w:numPr>
        <w:autoSpaceDE w:val="0"/>
        <w:autoSpaceDN w:val="0"/>
        <w:adjustRightInd w:val="0"/>
        <w:spacing w:before="120" w:line="276" w:lineRule="auto"/>
        <w:ind w:left="567" w:hanging="567"/>
        <w:jc w:val="both"/>
        <w:rPr>
          <w:rFonts w:ascii="Verdana" w:hAnsi="Verdana" w:cs="Arial"/>
          <w:sz w:val="22"/>
          <w:szCs w:val="22"/>
        </w:rPr>
      </w:pPr>
      <w:r w:rsidRPr="00DA2290">
        <w:rPr>
          <w:rFonts w:ascii="Verdana" w:hAnsi="Verdana" w:cs="Arial"/>
          <w:b/>
          <w:sz w:val="22"/>
          <w:szCs w:val="22"/>
        </w:rPr>
        <w:t xml:space="preserve">Positive </w:t>
      </w:r>
      <w:r w:rsidRPr="00DA2290">
        <w:rPr>
          <w:rFonts w:ascii="Verdana" w:hAnsi="Verdana"/>
          <w:b/>
          <w:sz w:val="22"/>
          <w:szCs w:val="22"/>
        </w:rPr>
        <w:t>impacts</w:t>
      </w:r>
      <w:r w:rsidRPr="00DA2290">
        <w:rPr>
          <w:rFonts w:ascii="Verdana" w:hAnsi="Verdana" w:cs="Arial"/>
          <w:b/>
          <w:sz w:val="22"/>
          <w:szCs w:val="22"/>
        </w:rPr>
        <w:t xml:space="preserve"> of </w:t>
      </w:r>
      <w:r w:rsidR="007E254D" w:rsidRPr="00DA2290">
        <w:rPr>
          <w:rFonts w:ascii="Verdana" w:hAnsi="Verdana" w:cs="Arial"/>
          <w:b/>
          <w:sz w:val="22"/>
          <w:szCs w:val="22"/>
        </w:rPr>
        <w:t>O</w:t>
      </w:r>
      <w:r w:rsidRPr="00DA2290">
        <w:rPr>
          <w:rFonts w:ascii="Verdana" w:hAnsi="Verdana" w:cs="Arial"/>
          <w:b/>
          <w:sz w:val="22"/>
          <w:szCs w:val="22"/>
        </w:rPr>
        <w:t xml:space="preserve">ption </w:t>
      </w:r>
      <w:r w:rsidR="007E254D" w:rsidRPr="00DA2290">
        <w:rPr>
          <w:rFonts w:ascii="Verdana" w:hAnsi="Verdana" w:cs="Arial"/>
          <w:b/>
          <w:sz w:val="22"/>
          <w:szCs w:val="22"/>
        </w:rPr>
        <w:t>2</w:t>
      </w:r>
      <w:r w:rsidR="003F7CA7" w:rsidRPr="00DA2290">
        <w:rPr>
          <w:rFonts w:ascii="Verdana" w:hAnsi="Verdana" w:cs="Arial"/>
          <w:b/>
          <w:sz w:val="22"/>
          <w:szCs w:val="22"/>
        </w:rPr>
        <w:t>.2</w:t>
      </w:r>
      <w:r w:rsidRPr="00DA2290">
        <w:rPr>
          <w:rFonts w:ascii="Verdana" w:hAnsi="Verdana" w:cs="Arial"/>
          <w:sz w:val="22"/>
          <w:szCs w:val="22"/>
        </w:rPr>
        <w:t xml:space="preserve"> can be summarised as follows: </w:t>
      </w:r>
    </w:p>
    <w:p w:rsidR="006C3B31" w:rsidRPr="00DA2290" w:rsidRDefault="0052376D" w:rsidP="004D2CA4">
      <w:pPr>
        <w:numPr>
          <w:ilvl w:val="0"/>
          <w:numId w:val="39"/>
        </w:numPr>
        <w:tabs>
          <w:tab w:val="left" w:pos="993"/>
        </w:tabs>
        <w:spacing w:line="276" w:lineRule="auto"/>
        <w:ind w:left="993" w:hanging="426"/>
        <w:jc w:val="both"/>
        <w:rPr>
          <w:rFonts w:ascii="Verdana" w:hAnsi="Verdana" w:cs="Arial"/>
          <w:sz w:val="22"/>
          <w:szCs w:val="22"/>
        </w:rPr>
      </w:pPr>
      <w:r w:rsidRPr="00DA2290">
        <w:rPr>
          <w:rFonts w:ascii="Verdana" w:hAnsi="Verdana" w:cs="Arial"/>
          <w:sz w:val="22"/>
          <w:szCs w:val="22"/>
        </w:rPr>
        <w:t>H</w:t>
      </w:r>
      <w:r w:rsidR="006C3B31" w:rsidRPr="00DA2290">
        <w:rPr>
          <w:rFonts w:ascii="Verdana" w:hAnsi="Verdana" w:cs="Arial"/>
          <w:sz w:val="22"/>
          <w:szCs w:val="22"/>
        </w:rPr>
        <w:t xml:space="preserve">igher </w:t>
      </w:r>
      <w:r w:rsidR="006C3B31" w:rsidRPr="00DA2290">
        <w:rPr>
          <w:rFonts w:ascii="Verdana" w:hAnsi="Verdana"/>
          <w:bCs/>
          <w:sz w:val="22"/>
          <w:szCs w:val="22"/>
          <w:lang w:eastAsia="de-DE"/>
        </w:rPr>
        <w:t>level</w:t>
      </w:r>
      <w:r w:rsidR="006C3B31" w:rsidRPr="00DA2290">
        <w:rPr>
          <w:rFonts w:ascii="Verdana" w:hAnsi="Verdana" w:cs="Arial"/>
          <w:sz w:val="22"/>
          <w:szCs w:val="22"/>
        </w:rPr>
        <w:t xml:space="preserve"> of legal certainty compared to option </w:t>
      </w:r>
      <w:r w:rsidR="001503CB" w:rsidRPr="00DA2290">
        <w:rPr>
          <w:rFonts w:ascii="Verdana" w:hAnsi="Verdana" w:cs="Arial"/>
          <w:sz w:val="22"/>
          <w:szCs w:val="22"/>
        </w:rPr>
        <w:t>2.</w:t>
      </w:r>
      <w:r w:rsidR="006C3B31" w:rsidRPr="00DA2290">
        <w:rPr>
          <w:rFonts w:ascii="Verdana" w:hAnsi="Verdana" w:cs="Arial"/>
          <w:sz w:val="22"/>
          <w:szCs w:val="22"/>
        </w:rPr>
        <w:t>1</w:t>
      </w:r>
      <w:r w:rsidRPr="00DA2290">
        <w:rPr>
          <w:rFonts w:ascii="Verdana" w:hAnsi="Verdana" w:cs="Arial"/>
          <w:sz w:val="22"/>
          <w:szCs w:val="22"/>
        </w:rPr>
        <w:t>.</w:t>
      </w:r>
    </w:p>
    <w:p w:rsidR="006C3B31" w:rsidRPr="00DA2290" w:rsidRDefault="0052376D" w:rsidP="004D2CA4">
      <w:pPr>
        <w:numPr>
          <w:ilvl w:val="0"/>
          <w:numId w:val="39"/>
        </w:numPr>
        <w:tabs>
          <w:tab w:val="left" w:pos="993"/>
        </w:tabs>
        <w:spacing w:line="276" w:lineRule="auto"/>
        <w:ind w:left="993" w:hanging="426"/>
        <w:jc w:val="both"/>
        <w:rPr>
          <w:rFonts w:ascii="Verdana" w:hAnsi="Verdana" w:cs="Arial"/>
          <w:sz w:val="22"/>
          <w:szCs w:val="22"/>
        </w:rPr>
      </w:pPr>
      <w:r w:rsidRPr="00DA2290">
        <w:rPr>
          <w:rFonts w:ascii="Verdana" w:hAnsi="Verdana" w:cs="Arial"/>
          <w:sz w:val="22"/>
          <w:szCs w:val="22"/>
        </w:rPr>
        <w:t>N</w:t>
      </w:r>
      <w:r w:rsidR="006C3B31" w:rsidRPr="00DA2290">
        <w:rPr>
          <w:rFonts w:ascii="Verdana" w:hAnsi="Verdana" w:cs="Arial"/>
          <w:sz w:val="22"/>
          <w:szCs w:val="22"/>
        </w:rPr>
        <w:t xml:space="preserve">o </w:t>
      </w:r>
      <w:r w:rsidR="006C3B31" w:rsidRPr="00DA2290">
        <w:rPr>
          <w:rFonts w:ascii="Verdana" w:hAnsi="Verdana"/>
          <w:bCs/>
          <w:sz w:val="22"/>
          <w:szCs w:val="22"/>
          <w:lang w:eastAsia="de-DE"/>
        </w:rPr>
        <w:t>duplication</w:t>
      </w:r>
      <w:r w:rsidR="006C3B31" w:rsidRPr="00DA2290">
        <w:rPr>
          <w:rFonts w:ascii="Verdana" w:hAnsi="Verdana" w:cs="Arial"/>
          <w:sz w:val="22"/>
          <w:szCs w:val="22"/>
        </w:rPr>
        <w:t xml:space="preserve"> of work done at the national level with respect to publication of legislation amendments</w:t>
      </w:r>
      <w:r w:rsidRPr="00DA2290">
        <w:rPr>
          <w:rFonts w:ascii="Verdana" w:hAnsi="Verdana" w:cs="Arial"/>
          <w:sz w:val="22"/>
          <w:szCs w:val="22"/>
        </w:rPr>
        <w:t>.</w:t>
      </w:r>
    </w:p>
    <w:p w:rsidR="006C3B31" w:rsidRPr="00DA2290" w:rsidRDefault="0052376D" w:rsidP="004D2CA4">
      <w:pPr>
        <w:numPr>
          <w:ilvl w:val="0"/>
          <w:numId w:val="39"/>
        </w:numPr>
        <w:tabs>
          <w:tab w:val="left" w:pos="993"/>
        </w:tabs>
        <w:spacing w:line="276" w:lineRule="auto"/>
        <w:ind w:left="993" w:hanging="426"/>
        <w:jc w:val="both"/>
        <w:rPr>
          <w:rFonts w:ascii="Verdana" w:hAnsi="Verdana" w:cs="Arial"/>
          <w:sz w:val="22"/>
          <w:szCs w:val="22"/>
        </w:rPr>
      </w:pPr>
      <w:r w:rsidRPr="00DA2290">
        <w:rPr>
          <w:rFonts w:ascii="Verdana" w:hAnsi="Verdana" w:cs="Arial"/>
          <w:sz w:val="22"/>
          <w:szCs w:val="22"/>
        </w:rPr>
        <w:t>N</w:t>
      </w:r>
      <w:r w:rsidR="006C3B31" w:rsidRPr="00DA2290">
        <w:rPr>
          <w:rFonts w:ascii="Verdana" w:hAnsi="Verdana" w:cs="Arial"/>
          <w:sz w:val="22"/>
          <w:szCs w:val="22"/>
        </w:rPr>
        <w:t xml:space="preserve">o </w:t>
      </w:r>
      <w:r w:rsidR="006C3B31" w:rsidRPr="00DA2290">
        <w:rPr>
          <w:rFonts w:ascii="Verdana" w:hAnsi="Verdana"/>
          <w:bCs/>
          <w:sz w:val="22"/>
          <w:szCs w:val="22"/>
          <w:lang w:eastAsia="de-DE"/>
        </w:rPr>
        <w:t>disproportionate</w:t>
      </w:r>
      <w:r w:rsidR="006C3B31" w:rsidRPr="00DA2290">
        <w:rPr>
          <w:rFonts w:ascii="Verdana" w:hAnsi="Verdana" w:cs="Arial"/>
          <w:sz w:val="22"/>
          <w:szCs w:val="22"/>
        </w:rPr>
        <w:t xml:space="preserve"> burden on competent authorities in determining what constitutes a “significant change”.</w:t>
      </w:r>
    </w:p>
    <w:p w:rsidR="00EB6747" w:rsidRPr="00DA2290" w:rsidRDefault="00EB6747" w:rsidP="004D2CA4">
      <w:pPr>
        <w:numPr>
          <w:ilvl w:val="0"/>
          <w:numId w:val="39"/>
        </w:numPr>
        <w:tabs>
          <w:tab w:val="left" w:pos="993"/>
        </w:tabs>
        <w:spacing w:line="276" w:lineRule="auto"/>
        <w:ind w:left="993" w:hanging="426"/>
        <w:jc w:val="both"/>
        <w:rPr>
          <w:rFonts w:ascii="Verdana" w:hAnsi="Verdana" w:cs="Arial"/>
          <w:sz w:val="22"/>
          <w:szCs w:val="22"/>
        </w:rPr>
      </w:pPr>
      <w:r w:rsidRPr="00DA2290">
        <w:rPr>
          <w:rFonts w:ascii="Verdana" w:hAnsi="Verdana" w:cs="Arial"/>
          <w:sz w:val="22"/>
          <w:szCs w:val="22"/>
        </w:rPr>
        <w:t xml:space="preserve">National provisions of prudential nature do not change often and therefore </w:t>
      </w:r>
      <w:r w:rsidR="000C2969" w:rsidRPr="00DA2290">
        <w:rPr>
          <w:rFonts w:ascii="Verdana" w:hAnsi="Verdana" w:cs="Arial"/>
          <w:sz w:val="22"/>
          <w:szCs w:val="22"/>
        </w:rPr>
        <w:t xml:space="preserve">updates </w:t>
      </w:r>
      <w:r w:rsidRPr="00DA2290">
        <w:rPr>
          <w:rFonts w:ascii="Verdana" w:hAnsi="Verdana" w:cs="Arial"/>
          <w:sz w:val="22"/>
          <w:szCs w:val="22"/>
        </w:rPr>
        <w:t xml:space="preserve">more frequent than </w:t>
      </w:r>
      <w:r w:rsidR="000C2969" w:rsidRPr="00DA2290">
        <w:rPr>
          <w:rFonts w:ascii="Verdana" w:hAnsi="Verdana" w:cs="Arial"/>
          <w:sz w:val="22"/>
          <w:szCs w:val="22"/>
        </w:rPr>
        <w:t xml:space="preserve">on </w:t>
      </w:r>
      <w:r w:rsidRPr="00DA2290">
        <w:rPr>
          <w:rFonts w:ascii="Verdana" w:hAnsi="Verdana" w:cs="Arial"/>
          <w:sz w:val="22"/>
          <w:szCs w:val="22"/>
        </w:rPr>
        <w:t xml:space="preserve">annual </w:t>
      </w:r>
      <w:r w:rsidR="000C2969" w:rsidRPr="00DA2290">
        <w:rPr>
          <w:rFonts w:ascii="Verdana" w:hAnsi="Verdana" w:cs="Arial"/>
          <w:sz w:val="22"/>
          <w:szCs w:val="22"/>
        </w:rPr>
        <w:t xml:space="preserve">basis would not add much more value. </w:t>
      </w:r>
    </w:p>
    <w:p w:rsidR="006C3B31" w:rsidRPr="00DA2290" w:rsidRDefault="006C3B31" w:rsidP="00972D7F">
      <w:pPr>
        <w:numPr>
          <w:ilvl w:val="0"/>
          <w:numId w:val="40"/>
        </w:numPr>
        <w:autoSpaceDE w:val="0"/>
        <w:autoSpaceDN w:val="0"/>
        <w:adjustRightInd w:val="0"/>
        <w:spacing w:before="120" w:line="276" w:lineRule="auto"/>
        <w:ind w:left="567" w:hanging="567"/>
        <w:jc w:val="both"/>
        <w:rPr>
          <w:rFonts w:ascii="Verdana" w:hAnsi="Verdana"/>
          <w:bCs/>
          <w:sz w:val="22"/>
          <w:szCs w:val="22"/>
          <w:lang w:eastAsia="de-DE"/>
        </w:rPr>
      </w:pPr>
      <w:r w:rsidRPr="00DA2290">
        <w:rPr>
          <w:rFonts w:ascii="Verdana" w:hAnsi="Verdana" w:cs="Arial"/>
          <w:b/>
          <w:sz w:val="22"/>
          <w:szCs w:val="22"/>
        </w:rPr>
        <w:t>Negative</w:t>
      </w:r>
      <w:r w:rsidRPr="00DA2290">
        <w:rPr>
          <w:rFonts w:ascii="Verdana" w:hAnsi="Verdana"/>
          <w:b/>
          <w:bCs/>
          <w:sz w:val="22"/>
          <w:szCs w:val="22"/>
          <w:lang w:eastAsia="de-DE"/>
        </w:rPr>
        <w:t xml:space="preserve"> </w:t>
      </w:r>
      <w:r w:rsidRPr="00DA2290">
        <w:rPr>
          <w:rFonts w:ascii="Verdana" w:hAnsi="Verdana"/>
          <w:b/>
          <w:sz w:val="22"/>
          <w:szCs w:val="22"/>
        </w:rPr>
        <w:t>impacts</w:t>
      </w:r>
      <w:r w:rsidRPr="00DA2290">
        <w:rPr>
          <w:rFonts w:ascii="Verdana" w:hAnsi="Verdana"/>
          <w:b/>
          <w:bCs/>
          <w:sz w:val="22"/>
          <w:szCs w:val="22"/>
          <w:lang w:eastAsia="de-DE"/>
        </w:rPr>
        <w:t xml:space="preserve"> of </w:t>
      </w:r>
      <w:r w:rsidR="007E254D" w:rsidRPr="00DA2290">
        <w:rPr>
          <w:rFonts w:ascii="Verdana" w:hAnsi="Verdana"/>
          <w:b/>
          <w:bCs/>
          <w:sz w:val="22"/>
          <w:szCs w:val="22"/>
          <w:lang w:eastAsia="de-DE"/>
        </w:rPr>
        <w:t>O</w:t>
      </w:r>
      <w:r w:rsidRPr="00DA2290">
        <w:rPr>
          <w:rFonts w:ascii="Verdana" w:hAnsi="Verdana"/>
          <w:b/>
          <w:bCs/>
          <w:sz w:val="22"/>
          <w:szCs w:val="22"/>
          <w:lang w:eastAsia="de-DE"/>
        </w:rPr>
        <w:t xml:space="preserve">ption </w:t>
      </w:r>
      <w:r w:rsidR="007E254D" w:rsidRPr="00DA2290">
        <w:rPr>
          <w:rFonts w:ascii="Verdana" w:hAnsi="Verdana"/>
          <w:b/>
          <w:bCs/>
          <w:sz w:val="22"/>
          <w:szCs w:val="22"/>
          <w:lang w:eastAsia="de-DE"/>
        </w:rPr>
        <w:t>2</w:t>
      </w:r>
      <w:r w:rsidR="003F7CA7" w:rsidRPr="00DA2290">
        <w:rPr>
          <w:rFonts w:ascii="Verdana" w:hAnsi="Verdana"/>
          <w:b/>
          <w:bCs/>
          <w:sz w:val="22"/>
          <w:szCs w:val="22"/>
          <w:lang w:eastAsia="de-DE"/>
        </w:rPr>
        <w:t>.2</w:t>
      </w:r>
      <w:r w:rsidRPr="00DA2290">
        <w:rPr>
          <w:rFonts w:ascii="Verdana" w:hAnsi="Verdana"/>
          <w:bCs/>
          <w:sz w:val="22"/>
          <w:szCs w:val="22"/>
          <w:lang w:eastAsia="de-DE"/>
        </w:rPr>
        <w:t xml:space="preserve"> are as follows:</w:t>
      </w:r>
    </w:p>
    <w:p w:rsidR="006C3B31" w:rsidRPr="00DA2290" w:rsidRDefault="0052376D" w:rsidP="004D2CA4">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cs="Arial"/>
          <w:sz w:val="22"/>
          <w:szCs w:val="22"/>
        </w:rPr>
        <w:t>I</w:t>
      </w:r>
      <w:r w:rsidR="006C3B31" w:rsidRPr="00DA2290">
        <w:rPr>
          <w:rFonts w:ascii="Verdana" w:hAnsi="Verdana" w:cs="Arial"/>
          <w:sz w:val="22"/>
          <w:szCs w:val="22"/>
        </w:rPr>
        <w:t>ncreased</w:t>
      </w:r>
      <w:r w:rsidR="006C3B31" w:rsidRPr="00DA2290">
        <w:rPr>
          <w:rFonts w:ascii="Verdana" w:hAnsi="Verdana"/>
          <w:bCs/>
          <w:sz w:val="22"/>
          <w:szCs w:val="22"/>
          <w:lang w:eastAsia="de-DE"/>
        </w:rPr>
        <w:t xml:space="preserve"> risk that the information about national provisions of prudential nature on the EIOPA website may become outdated</w:t>
      </w:r>
      <w:r w:rsidRPr="00DA2290">
        <w:rPr>
          <w:rFonts w:ascii="Verdana" w:hAnsi="Verdana"/>
          <w:bCs/>
          <w:sz w:val="22"/>
          <w:szCs w:val="22"/>
          <w:lang w:eastAsia="de-DE"/>
        </w:rPr>
        <w:t>.</w:t>
      </w:r>
    </w:p>
    <w:p w:rsidR="006C3B31" w:rsidRPr="00DA2290" w:rsidRDefault="0052376D" w:rsidP="004D2CA4">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cs="Arial"/>
          <w:sz w:val="22"/>
          <w:szCs w:val="22"/>
        </w:rPr>
        <w:t>C</w:t>
      </w:r>
      <w:r w:rsidR="006C3B31" w:rsidRPr="00DA2290">
        <w:rPr>
          <w:rFonts w:ascii="Verdana" w:hAnsi="Verdana" w:cs="Arial"/>
          <w:sz w:val="22"/>
          <w:szCs w:val="22"/>
        </w:rPr>
        <w:t>onsequently,</w:t>
      </w:r>
      <w:r w:rsidR="006C3B31" w:rsidRPr="00DA2290">
        <w:rPr>
          <w:rFonts w:ascii="Verdana" w:hAnsi="Verdana"/>
          <w:bCs/>
          <w:sz w:val="22"/>
          <w:szCs w:val="22"/>
          <w:lang w:eastAsia="de-DE"/>
        </w:rPr>
        <w:t xml:space="preserve"> the information may not be useful to stakeholders.</w:t>
      </w:r>
    </w:p>
    <w:p w:rsidR="00655AC9" w:rsidRPr="00DA2290" w:rsidRDefault="00655AC9" w:rsidP="00655AC9">
      <w:pPr>
        <w:numPr>
          <w:ilvl w:val="0"/>
          <w:numId w:val="39"/>
        </w:numPr>
        <w:tabs>
          <w:tab w:val="left" w:pos="993"/>
        </w:tabs>
        <w:spacing w:line="276" w:lineRule="auto"/>
        <w:ind w:left="993" w:hanging="426"/>
        <w:jc w:val="both"/>
        <w:rPr>
          <w:rFonts w:ascii="Verdana" w:hAnsi="Verdana"/>
          <w:bCs/>
          <w:sz w:val="22"/>
          <w:szCs w:val="22"/>
          <w:lang w:eastAsia="de-DE"/>
        </w:rPr>
      </w:pPr>
      <w:r w:rsidRPr="00DA2290">
        <w:rPr>
          <w:rFonts w:ascii="Verdana" w:hAnsi="Verdana" w:cs="Arial"/>
          <w:sz w:val="22"/>
          <w:szCs w:val="22"/>
        </w:rPr>
        <w:t>Benefits</w:t>
      </w:r>
      <w:r w:rsidRPr="00DA2290">
        <w:rPr>
          <w:rFonts w:ascii="Verdana" w:hAnsi="Verdana"/>
          <w:bCs/>
          <w:sz w:val="22"/>
          <w:szCs w:val="22"/>
          <w:lang w:eastAsia="de-DE"/>
        </w:rPr>
        <w:t xml:space="preserve"> are less likely to be affected only if CAs pass on the costs to IORPs.</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1"/>
        <w:gridCol w:w="1693"/>
        <w:gridCol w:w="3070"/>
        <w:gridCol w:w="1041"/>
        <w:gridCol w:w="850"/>
        <w:gridCol w:w="851"/>
        <w:gridCol w:w="850"/>
      </w:tblGrid>
      <w:tr w:rsidR="00F92947" w:rsidRPr="00DA2290" w:rsidTr="00515AC5">
        <w:trPr>
          <w:trHeight w:val="346"/>
        </w:trPr>
        <w:tc>
          <w:tcPr>
            <w:tcW w:w="1851" w:type="dxa"/>
            <w:vMerge w:val="restart"/>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Policy Options</w:t>
            </w:r>
          </w:p>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Set 2</w:t>
            </w:r>
          </w:p>
        </w:tc>
        <w:tc>
          <w:tcPr>
            <w:tcW w:w="1693" w:type="dxa"/>
            <w:vMerge w:val="restart"/>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Party Affected</w:t>
            </w:r>
          </w:p>
        </w:tc>
        <w:tc>
          <w:tcPr>
            <w:tcW w:w="6662" w:type="dxa"/>
            <w:gridSpan w:val="5"/>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Impact</w:t>
            </w:r>
          </w:p>
        </w:tc>
      </w:tr>
      <w:tr w:rsidR="00F92947" w:rsidRPr="00DA2290" w:rsidTr="00515AC5">
        <w:trPr>
          <w:trHeight w:val="1356"/>
        </w:trPr>
        <w:tc>
          <w:tcPr>
            <w:tcW w:w="1851" w:type="dxa"/>
            <w:vMerge/>
            <w:vAlign w:val="center"/>
          </w:tcPr>
          <w:p w:rsidR="00F92947" w:rsidRPr="00DA2290" w:rsidRDefault="00F92947" w:rsidP="00FA6BBE">
            <w:pPr>
              <w:jc w:val="center"/>
              <w:rPr>
                <w:rFonts w:ascii="Verdana" w:hAnsi="Verdana" w:cs="Arial"/>
                <w:b/>
                <w:bCs/>
                <w:sz w:val="16"/>
                <w:szCs w:val="16"/>
                <w:lang w:eastAsia="sk-SK"/>
              </w:rPr>
            </w:pPr>
          </w:p>
        </w:tc>
        <w:tc>
          <w:tcPr>
            <w:tcW w:w="1693" w:type="dxa"/>
            <w:vMerge/>
            <w:vAlign w:val="center"/>
          </w:tcPr>
          <w:p w:rsidR="00F92947" w:rsidRPr="00DA2290" w:rsidRDefault="00F92947" w:rsidP="00FA6BBE">
            <w:pPr>
              <w:jc w:val="center"/>
              <w:rPr>
                <w:rFonts w:ascii="Verdana" w:hAnsi="Verdana" w:cs="Arial"/>
                <w:b/>
                <w:bCs/>
                <w:sz w:val="16"/>
                <w:szCs w:val="16"/>
                <w:lang w:eastAsia="sk-SK"/>
              </w:rPr>
            </w:pPr>
          </w:p>
        </w:tc>
        <w:tc>
          <w:tcPr>
            <w:tcW w:w="3070" w:type="dxa"/>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Description</w:t>
            </w:r>
          </w:p>
        </w:tc>
        <w:tc>
          <w:tcPr>
            <w:tcW w:w="1041" w:type="dxa"/>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 xml:space="preserve">Type of Impact </w:t>
            </w:r>
            <w:r w:rsidRPr="00DA2290">
              <w:rPr>
                <w:rFonts w:ascii="Verdana" w:hAnsi="Verdana" w:cs="Arial"/>
                <w:sz w:val="16"/>
                <w:szCs w:val="16"/>
                <w:lang w:eastAsia="sk-SK"/>
              </w:rPr>
              <w:t>(Direct/ Indirect)</w:t>
            </w:r>
          </w:p>
        </w:tc>
        <w:tc>
          <w:tcPr>
            <w:tcW w:w="850" w:type="dxa"/>
            <w:vAlign w:val="center"/>
          </w:tcPr>
          <w:p w:rsidR="00F92947" w:rsidRPr="00DA2290" w:rsidRDefault="00F92947" w:rsidP="000754CF">
            <w:pPr>
              <w:jc w:val="center"/>
              <w:rPr>
                <w:rFonts w:ascii="Verdana" w:hAnsi="Verdana" w:cs="Arial"/>
                <w:sz w:val="16"/>
                <w:szCs w:val="16"/>
                <w:lang w:eastAsia="sk-SK"/>
              </w:rPr>
            </w:pPr>
            <w:r w:rsidRPr="00DA2290">
              <w:rPr>
                <w:rFonts w:ascii="Verdana" w:hAnsi="Verdana" w:cs="Arial"/>
                <w:b/>
                <w:bCs/>
                <w:sz w:val="16"/>
                <w:szCs w:val="16"/>
                <w:lang w:eastAsia="sk-SK"/>
              </w:rPr>
              <w:t>Effect</w:t>
            </w:r>
            <w:r w:rsidRPr="00DA2290">
              <w:rPr>
                <w:rFonts w:ascii="Verdana" w:hAnsi="Verdana" w:cs="Arial"/>
                <w:sz w:val="16"/>
                <w:szCs w:val="16"/>
                <w:lang w:eastAsia="sk-SK"/>
              </w:rPr>
              <w:t xml:space="preserve"> (-/</w:t>
            </w:r>
            <w:r w:rsidR="000754CF" w:rsidRPr="00DA2290">
              <w:rPr>
                <w:rFonts w:ascii="Verdana" w:hAnsi="Verdana" w:cs="Arial"/>
                <w:sz w:val="16"/>
                <w:szCs w:val="16"/>
                <w:lang w:eastAsia="sk-SK"/>
              </w:rPr>
              <w:t>0</w:t>
            </w:r>
            <w:r w:rsidRPr="00DA2290">
              <w:rPr>
                <w:rFonts w:ascii="Verdana" w:hAnsi="Verdana" w:cs="Arial"/>
                <w:sz w:val="16"/>
                <w:szCs w:val="16"/>
                <w:lang w:eastAsia="sk-SK"/>
              </w:rPr>
              <w:t>/+)</w:t>
            </w:r>
          </w:p>
        </w:tc>
        <w:tc>
          <w:tcPr>
            <w:tcW w:w="851" w:type="dxa"/>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Likelihood of Impact</w:t>
            </w:r>
            <w:r w:rsidRPr="00DA2290">
              <w:rPr>
                <w:rFonts w:ascii="Verdana" w:hAnsi="Verdana" w:cs="Arial"/>
                <w:sz w:val="16"/>
                <w:szCs w:val="16"/>
                <w:lang w:eastAsia="sk-SK"/>
              </w:rPr>
              <w:t xml:space="preserve"> (L/M/H)</w:t>
            </w:r>
          </w:p>
        </w:tc>
        <w:tc>
          <w:tcPr>
            <w:tcW w:w="850" w:type="dxa"/>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Timing of Impact</w:t>
            </w:r>
            <w:r w:rsidRPr="00DA2290">
              <w:rPr>
                <w:rFonts w:ascii="Verdana" w:hAnsi="Verdana" w:cs="Arial"/>
                <w:sz w:val="16"/>
                <w:szCs w:val="16"/>
                <w:lang w:eastAsia="sk-SK"/>
              </w:rPr>
              <w:t xml:space="preserve"> (S/L/P)</w:t>
            </w: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1851" w:type="dxa"/>
            <w:vMerge w:val="restart"/>
            <w:tcBorders>
              <w:top w:val="single" w:sz="4" w:space="0" w:color="auto"/>
              <w:left w:val="single" w:sz="4" w:space="0" w:color="auto"/>
              <w:right w:val="single" w:sz="4" w:space="0" w:color="auto"/>
            </w:tcBorders>
          </w:tcPr>
          <w:p w:rsidR="00F92947" w:rsidRPr="00DA2290" w:rsidRDefault="00F92947" w:rsidP="00FA6BBE">
            <w:pPr>
              <w:rPr>
                <w:rFonts w:ascii="Verdana" w:eastAsiaTheme="minorHAnsi" w:hAnsi="Verdana" w:cstheme="minorBidi"/>
                <w:b/>
                <w:bCs/>
                <w:sz w:val="16"/>
                <w:szCs w:val="16"/>
                <w:lang w:eastAsia="sk-SK"/>
              </w:rPr>
            </w:pPr>
          </w:p>
          <w:p w:rsidR="00F92947" w:rsidRPr="00DA2290" w:rsidRDefault="00F92947" w:rsidP="00FA6BBE">
            <w:pPr>
              <w:rPr>
                <w:rFonts w:ascii="Verdana" w:eastAsiaTheme="minorHAnsi" w:hAnsi="Verdana" w:cstheme="minorBidi"/>
                <w:b/>
                <w:bCs/>
                <w:sz w:val="16"/>
                <w:szCs w:val="16"/>
                <w:lang w:eastAsia="sk-SK"/>
              </w:rPr>
            </w:pPr>
            <w:r w:rsidRPr="00DA2290">
              <w:rPr>
                <w:rFonts w:ascii="Verdana" w:eastAsiaTheme="minorHAnsi" w:hAnsi="Verdana" w:cstheme="minorBidi"/>
                <w:b/>
                <w:bCs/>
                <w:sz w:val="16"/>
                <w:szCs w:val="16"/>
                <w:lang w:eastAsia="sk-SK"/>
              </w:rPr>
              <w:t xml:space="preserve">Option </w:t>
            </w:r>
            <w:r w:rsidR="006A2A29" w:rsidRPr="00DA2290">
              <w:rPr>
                <w:rFonts w:ascii="Verdana" w:eastAsiaTheme="minorHAnsi" w:hAnsi="Verdana" w:cstheme="minorBidi"/>
                <w:b/>
                <w:bCs/>
                <w:sz w:val="16"/>
                <w:szCs w:val="16"/>
                <w:lang w:eastAsia="sk-SK"/>
              </w:rPr>
              <w:t>2.</w:t>
            </w:r>
            <w:r w:rsidRPr="00DA2290">
              <w:rPr>
                <w:rFonts w:ascii="Verdana" w:eastAsiaTheme="minorHAnsi" w:hAnsi="Verdana" w:cstheme="minorBidi"/>
                <w:b/>
                <w:bCs/>
                <w:sz w:val="16"/>
                <w:szCs w:val="16"/>
                <w:lang w:eastAsia="sk-SK"/>
              </w:rPr>
              <w:t xml:space="preserve">1: </w:t>
            </w:r>
          </w:p>
          <w:p w:rsidR="00F92947" w:rsidRPr="00DA2290" w:rsidRDefault="00F92947" w:rsidP="00FA6BBE">
            <w:pPr>
              <w:pStyle w:val="CM4"/>
              <w:spacing w:before="60" w:after="60"/>
              <w:rPr>
                <w:rFonts w:ascii="Verdana" w:hAnsi="Verdana"/>
                <w:sz w:val="16"/>
                <w:szCs w:val="16"/>
              </w:rPr>
            </w:pPr>
          </w:p>
          <w:p w:rsidR="00F92947" w:rsidRPr="00DA2290" w:rsidRDefault="00F92947" w:rsidP="00FA6BBE">
            <w:pPr>
              <w:pStyle w:val="CM4"/>
              <w:spacing w:before="60" w:after="60"/>
              <w:rPr>
                <w:rFonts w:ascii="Verdana" w:hAnsi="Verdana"/>
                <w:sz w:val="16"/>
                <w:szCs w:val="16"/>
              </w:rPr>
            </w:pPr>
            <w:r w:rsidRPr="00DA2290">
              <w:rPr>
                <w:rFonts w:ascii="Verdana" w:hAnsi="Verdana"/>
                <w:sz w:val="16"/>
                <w:szCs w:val="16"/>
              </w:rPr>
              <w:t xml:space="preserve">MS to report to EIOPA national provisions of prudential nature </w:t>
            </w:r>
            <w:r w:rsidRPr="00DA2290">
              <w:rPr>
                <w:rFonts w:ascii="Verdana" w:hAnsi="Verdana"/>
                <w:color w:val="000000"/>
                <w:sz w:val="16"/>
                <w:szCs w:val="16"/>
              </w:rPr>
              <w:t>relevant to the field of occupational pension schemes</w:t>
            </w:r>
            <w:r w:rsidRPr="00DA2290">
              <w:rPr>
                <w:color w:val="000000"/>
                <w:sz w:val="19"/>
                <w:szCs w:val="19"/>
              </w:rPr>
              <w:t xml:space="preserve"> </w:t>
            </w:r>
            <w:r w:rsidRPr="00DA2290">
              <w:rPr>
                <w:rFonts w:ascii="Verdana" w:hAnsi="Verdana"/>
                <w:sz w:val="16"/>
                <w:szCs w:val="16"/>
              </w:rPr>
              <w:t>every two years and when a “significant change” takes place</w:t>
            </w:r>
          </w:p>
          <w:p w:rsidR="00F92947" w:rsidRPr="00DA2290" w:rsidRDefault="00F92947" w:rsidP="00FA6BBE">
            <w:pPr>
              <w:pStyle w:val="CM4"/>
              <w:spacing w:before="60" w:after="60"/>
              <w:rPr>
                <w:rFonts w:ascii="Verdana" w:hAnsi="Verdana"/>
                <w:b/>
                <w:bCs/>
                <w:sz w:val="16"/>
                <w:szCs w:val="16"/>
                <w:lang w:eastAsia="sk-SK"/>
              </w:rPr>
            </w:pPr>
          </w:p>
        </w:tc>
        <w:tc>
          <w:tcPr>
            <w:tcW w:w="1693" w:type="dxa"/>
            <w:tcBorders>
              <w:top w:val="single" w:sz="4" w:space="0" w:color="auto"/>
              <w:left w:val="single" w:sz="4" w:space="0" w:color="auto"/>
              <w:bottom w:val="single" w:sz="4" w:space="0" w:color="auto"/>
              <w:right w:val="nil"/>
            </w:tcBorders>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Members &amp;</w:t>
            </w:r>
          </w:p>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Beneficiaries</w:t>
            </w:r>
          </w:p>
        </w:tc>
        <w:tc>
          <w:tcPr>
            <w:tcW w:w="3070" w:type="dxa"/>
            <w:tcBorders>
              <w:top w:val="single" w:sz="4" w:space="0" w:color="auto"/>
              <w:left w:val="single" w:sz="4" w:space="0" w:color="auto"/>
              <w:bottom w:val="single" w:sz="4" w:space="0" w:color="auto"/>
              <w:right w:val="single" w:sz="4" w:space="0" w:color="auto"/>
            </w:tcBorders>
            <w:vAlign w:val="center"/>
          </w:tcPr>
          <w:p w:rsidR="00F92947" w:rsidRPr="00DA2290" w:rsidRDefault="003F7CA7" w:rsidP="00FA6BBE">
            <w:pPr>
              <w:jc w:val="center"/>
              <w:rPr>
                <w:rFonts w:ascii="Verdana" w:hAnsi="Verdana" w:cs="Arial"/>
                <w:sz w:val="16"/>
                <w:szCs w:val="16"/>
                <w:lang w:eastAsia="sk-SK"/>
              </w:rPr>
            </w:pPr>
            <w:r w:rsidRPr="00DA2290">
              <w:rPr>
                <w:rFonts w:ascii="Verdana" w:hAnsi="Verdana" w:cs="Arial"/>
                <w:sz w:val="16"/>
                <w:szCs w:val="16"/>
                <w:lang w:eastAsia="sk-SK"/>
              </w:rPr>
              <w:t xml:space="preserve">Member benefits </w:t>
            </w:r>
            <w:r w:rsidR="00F92947" w:rsidRPr="00DA2290">
              <w:rPr>
                <w:rFonts w:ascii="Verdana" w:hAnsi="Verdana" w:cs="Arial"/>
                <w:sz w:val="16"/>
                <w:szCs w:val="16"/>
                <w:lang w:eastAsia="sk-SK"/>
              </w:rPr>
              <w:t>may be indirectly affected if CAs pass on the costs to IORPs as a result of more frequent reporting</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Up to date information on national provisions of prudential nature</w:t>
            </w:r>
          </w:p>
          <w:p w:rsidR="00F92947" w:rsidRPr="00DA2290" w:rsidRDefault="00F92947" w:rsidP="00FA6BBE">
            <w:pPr>
              <w:jc w:val="center"/>
              <w:rPr>
                <w:rFonts w:ascii="Verdana" w:hAnsi="Verdana" w:cs="Arial"/>
                <w:sz w:val="16"/>
                <w:szCs w:val="16"/>
                <w:lang w:eastAsia="sk-SK"/>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Indirect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M</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M</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1851" w:type="dxa"/>
            <w:vMerge/>
            <w:tcBorders>
              <w:left w:val="single" w:sz="4" w:space="0" w:color="auto"/>
              <w:bottom w:val="nil"/>
              <w:right w:val="single" w:sz="4" w:space="0" w:color="auto"/>
            </w:tcBorders>
            <w:vAlign w:val="center"/>
          </w:tcPr>
          <w:p w:rsidR="00F92947" w:rsidRPr="00DA2290" w:rsidRDefault="00F92947" w:rsidP="00FA6BBE">
            <w:pP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nil"/>
            </w:tcBorders>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IORPs and sponsoring undertakings</w:t>
            </w:r>
          </w:p>
        </w:tc>
        <w:tc>
          <w:tcPr>
            <w:tcW w:w="3070"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 xml:space="preserve">Levy fees/contributions collected by CAs may increase as a result of more frequent reporting </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Up to date information on national provisions of prudential nature</w:t>
            </w:r>
          </w:p>
          <w:p w:rsidR="00F92947" w:rsidRPr="00DA2290" w:rsidRDefault="00F92947" w:rsidP="00FA6BBE">
            <w:pPr>
              <w:jc w:val="center"/>
              <w:rPr>
                <w:rFonts w:ascii="Verdana" w:hAnsi="Verdana" w:cs="Arial"/>
                <w:sz w:val="16"/>
                <w:szCs w:val="16"/>
                <w:lang w:eastAsia="sk-SK"/>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Indirect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M</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M</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5"/>
        </w:trPr>
        <w:tc>
          <w:tcPr>
            <w:tcW w:w="1851" w:type="dxa"/>
            <w:vMerge/>
            <w:tcBorders>
              <w:left w:val="single" w:sz="4" w:space="0" w:color="auto"/>
              <w:bottom w:val="nil"/>
              <w:right w:val="single" w:sz="4" w:space="0" w:color="auto"/>
            </w:tcBorders>
            <w:vAlign w:val="center"/>
          </w:tcPr>
          <w:p w:rsidR="00F92947" w:rsidRPr="00DA2290" w:rsidRDefault="00F92947" w:rsidP="00FA6BB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Competent</w:t>
            </w:r>
          </w:p>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authorities</w:t>
            </w:r>
          </w:p>
        </w:tc>
        <w:tc>
          <w:tcPr>
            <w:tcW w:w="3070" w:type="dxa"/>
            <w:tcBorders>
              <w:top w:val="single" w:sz="4" w:space="0" w:color="auto"/>
              <w:left w:val="single" w:sz="4" w:space="0" w:color="auto"/>
              <w:right w:val="single" w:sz="4" w:space="0" w:color="auto"/>
            </w:tcBorders>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 xml:space="preserve">The responsibility for the initial, annual and “significant change” transmission </w:t>
            </w:r>
          </w:p>
        </w:tc>
        <w:tc>
          <w:tcPr>
            <w:tcW w:w="1041" w:type="dxa"/>
            <w:tcBorders>
              <w:top w:val="single" w:sz="4" w:space="0" w:color="auto"/>
              <w:left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0" w:type="dxa"/>
            <w:tcBorders>
              <w:top w:val="single" w:sz="4" w:space="0" w:color="auto"/>
              <w:left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851" w:type="dxa"/>
            <w:tcBorders>
              <w:top w:val="single" w:sz="4" w:space="0" w:color="auto"/>
              <w:left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H</w:t>
            </w:r>
          </w:p>
        </w:tc>
        <w:tc>
          <w:tcPr>
            <w:tcW w:w="850" w:type="dxa"/>
            <w:tcBorders>
              <w:top w:val="single" w:sz="4" w:space="0" w:color="auto"/>
              <w:left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P</w:t>
            </w: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5"/>
        </w:trPr>
        <w:tc>
          <w:tcPr>
            <w:tcW w:w="1851" w:type="dxa"/>
            <w:vMerge/>
            <w:tcBorders>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EIOPA</w:t>
            </w:r>
          </w:p>
        </w:tc>
        <w:tc>
          <w:tcPr>
            <w:tcW w:w="3070" w:type="dxa"/>
            <w:tcBorders>
              <w:top w:val="single" w:sz="4" w:space="0" w:color="auto"/>
              <w:left w:val="nil"/>
              <w:bottom w:val="single" w:sz="4" w:space="0" w:color="auto"/>
              <w:right w:val="single" w:sz="4" w:space="0" w:color="auto"/>
            </w:tcBorders>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Up to date information on national provisions of prudential nature on EIOPA website</w:t>
            </w:r>
          </w:p>
          <w:p w:rsidR="00F92947" w:rsidRPr="00DA2290" w:rsidRDefault="00F92947" w:rsidP="00FA6BBE">
            <w:pPr>
              <w:jc w:val="center"/>
              <w:rPr>
                <w:rFonts w:ascii="Verdana" w:hAnsi="Verdana" w:cs="Arial"/>
                <w:sz w:val="16"/>
                <w:szCs w:val="16"/>
                <w:highlight w:val="yellow"/>
                <w:lang w:eastAsia="sk-SK"/>
              </w:rPr>
            </w:pPr>
          </w:p>
        </w:tc>
        <w:tc>
          <w:tcPr>
            <w:tcW w:w="1041" w:type="dxa"/>
            <w:tcBorders>
              <w:top w:val="single" w:sz="4" w:space="0" w:color="auto"/>
              <w:left w:val="nil"/>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0" w:type="dxa"/>
            <w:tcBorders>
              <w:top w:val="single" w:sz="4" w:space="0" w:color="auto"/>
              <w:left w:val="nil"/>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851" w:type="dxa"/>
            <w:tcBorders>
              <w:top w:val="single" w:sz="4" w:space="0" w:color="auto"/>
              <w:left w:val="nil"/>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H</w:t>
            </w:r>
          </w:p>
        </w:tc>
        <w:tc>
          <w:tcPr>
            <w:tcW w:w="850" w:type="dxa"/>
            <w:tcBorders>
              <w:top w:val="single" w:sz="4" w:space="0" w:color="auto"/>
              <w:left w:val="nil"/>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P</w:t>
            </w: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1"/>
        </w:trPr>
        <w:tc>
          <w:tcPr>
            <w:tcW w:w="1851" w:type="dxa"/>
            <w:vMerge w:val="restart"/>
            <w:tcBorders>
              <w:top w:val="single" w:sz="4" w:space="0" w:color="auto"/>
              <w:left w:val="single" w:sz="4" w:space="0" w:color="auto"/>
              <w:bottom w:val="nil"/>
              <w:right w:val="single" w:sz="4" w:space="0" w:color="auto"/>
            </w:tcBorders>
          </w:tcPr>
          <w:p w:rsidR="00F92947" w:rsidRPr="00DA2290" w:rsidRDefault="00F92947" w:rsidP="00FA6BBE">
            <w:pPr>
              <w:rPr>
                <w:rFonts w:ascii="Verdana" w:eastAsiaTheme="minorHAnsi" w:hAnsi="Verdana" w:cstheme="minorBidi"/>
                <w:b/>
                <w:bCs/>
                <w:sz w:val="16"/>
                <w:szCs w:val="16"/>
                <w:lang w:eastAsia="sk-SK"/>
              </w:rPr>
            </w:pPr>
          </w:p>
          <w:p w:rsidR="00F92947" w:rsidRPr="00DA2290" w:rsidRDefault="00F92947" w:rsidP="00FA6BBE">
            <w:pPr>
              <w:rPr>
                <w:rFonts w:ascii="Verdana" w:eastAsiaTheme="minorHAnsi" w:hAnsi="Verdana" w:cstheme="minorBidi"/>
                <w:b/>
                <w:bCs/>
                <w:sz w:val="16"/>
                <w:szCs w:val="16"/>
                <w:lang w:eastAsia="sk-SK"/>
              </w:rPr>
            </w:pPr>
            <w:r w:rsidRPr="00DA2290">
              <w:rPr>
                <w:rFonts w:ascii="Verdana" w:eastAsiaTheme="minorHAnsi" w:hAnsi="Verdana" w:cstheme="minorBidi"/>
                <w:b/>
                <w:bCs/>
                <w:sz w:val="16"/>
                <w:szCs w:val="16"/>
                <w:lang w:eastAsia="sk-SK"/>
              </w:rPr>
              <w:t>Option 2</w:t>
            </w:r>
            <w:r w:rsidR="006A2A29" w:rsidRPr="00DA2290">
              <w:rPr>
                <w:rFonts w:ascii="Verdana" w:eastAsiaTheme="minorHAnsi" w:hAnsi="Verdana" w:cstheme="minorBidi"/>
                <w:b/>
                <w:bCs/>
                <w:sz w:val="16"/>
                <w:szCs w:val="16"/>
                <w:lang w:eastAsia="sk-SK"/>
              </w:rPr>
              <w:t>.2</w:t>
            </w:r>
            <w:r w:rsidRPr="00DA2290">
              <w:rPr>
                <w:rFonts w:ascii="Verdana" w:eastAsiaTheme="minorHAnsi" w:hAnsi="Verdana" w:cstheme="minorBidi"/>
                <w:b/>
                <w:bCs/>
                <w:sz w:val="16"/>
                <w:szCs w:val="16"/>
                <w:lang w:eastAsia="sk-SK"/>
              </w:rPr>
              <w:t xml:space="preserve">:                                                                     </w:t>
            </w:r>
          </w:p>
          <w:p w:rsidR="00F92947" w:rsidRPr="00DA2290" w:rsidRDefault="00F92947" w:rsidP="00FA6BBE">
            <w:pPr>
              <w:autoSpaceDE w:val="0"/>
              <w:autoSpaceDN w:val="0"/>
              <w:adjustRightInd w:val="0"/>
              <w:spacing w:before="60" w:after="60"/>
              <w:rPr>
                <w:rFonts w:ascii="Verdana" w:hAnsi="Verdana"/>
                <w:sz w:val="16"/>
                <w:szCs w:val="16"/>
              </w:rPr>
            </w:pPr>
          </w:p>
          <w:p w:rsidR="00F92947" w:rsidRPr="00DA2290" w:rsidRDefault="00F92947" w:rsidP="00FA6BBE">
            <w:pPr>
              <w:autoSpaceDE w:val="0"/>
              <w:autoSpaceDN w:val="0"/>
              <w:adjustRightInd w:val="0"/>
              <w:spacing w:before="60" w:after="60"/>
            </w:pPr>
            <w:r w:rsidRPr="00DA2290">
              <w:rPr>
                <w:rFonts w:ascii="Verdana" w:hAnsi="Verdana"/>
                <w:sz w:val="16"/>
                <w:szCs w:val="16"/>
              </w:rPr>
              <w:t xml:space="preserve">MS to report to EIOPA national provisions of prudential nature </w:t>
            </w:r>
            <w:r w:rsidRPr="00DA2290">
              <w:rPr>
                <w:rFonts w:ascii="Verdana" w:hAnsi="Verdana"/>
                <w:color w:val="000000"/>
                <w:sz w:val="16"/>
                <w:szCs w:val="16"/>
              </w:rPr>
              <w:t>relevant to the field of occupational pension schemes on annual basis; no reporting on significant change</w:t>
            </w:r>
            <w:r w:rsidRPr="00DA2290">
              <w:rPr>
                <w:rFonts w:ascii="Verdana" w:hAnsi="Verdana"/>
                <w:b/>
                <w:sz w:val="16"/>
                <w:szCs w:val="16"/>
              </w:rPr>
              <w:t xml:space="preserve"> </w:t>
            </w:r>
          </w:p>
          <w:p w:rsidR="00F92947" w:rsidRPr="00DA2290" w:rsidRDefault="00F92947" w:rsidP="00FA6BBE">
            <w:pPr>
              <w:rPr>
                <w:rFonts w:ascii="Verdana" w:eastAsiaTheme="minorHAnsi" w:hAnsi="Verdana"/>
                <w:sz w:val="16"/>
                <w:szCs w:val="16"/>
                <w:lang w:eastAsia="sk-SK"/>
              </w:rPr>
            </w:pPr>
          </w:p>
          <w:p w:rsidR="00F92947" w:rsidRPr="00DA2290" w:rsidRDefault="00F92947" w:rsidP="00FA6BBE">
            <w:pPr>
              <w:rPr>
                <w:rFonts w:ascii="Verdana" w:eastAsiaTheme="minorHAnsi" w:hAnsi="Verdana" w:cstheme="minorBidi"/>
                <w:bCs/>
                <w:sz w:val="14"/>
                <w:szCs w:val="16"/>
                <w:lang w:eastAsia="sk-SK"/>
              </w:rPr>
            </w:pPr>
          </w:p>
        </w:tc>
        <w:tc>
          <w:tcPr>
            <w:tcW w:w="1693" w:type="dxa"/>
            <w:tcBorders>
              <w:top w:val="single" w:sz="4" w:space="0" w:color="auto"/>
              <w:left w:val="single" w:sz="4" w:space="0" w:color="auto"/>
              <w:bottom w:val="single" w:sz="4" w:space="0" w:color="auto"/>
              <w:right w:val="nil"/>
            </w:tcBorders>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Members &amp;</w:t>
            </w:r>
          </w:p>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Beneficiaries</w:t>
            </w:r>
          </w:p>
        </w:tc>
        <w:tc>
          <w:tcPr>
            <w:tcW w:w="3070" w:type="dxa"/>
            <w:tcBorders>
              <w:top w:val="single" w:sz="4" w:space="0" w:color="auto"/>
              <w:left w:val="single" w:sz="4" w:space="0" w:color="auto"/>
              <w:bottom w:val="single" w:sz="4" w:space="0" w:color="auto"/>
              <w:right w:val="single" w:sz="4" w:space="0" w:color="auto"/>
            </w:tcBorders>
            <w:vAlign w:val="center"/>
          </w:tcPr>
          <w:p w:rsidR="00F92947" w:rsidRPr="00DA2290" w:rsidRDefault="003F7CA7" w:rsidP="00FA6BBE">
            <w:pPr>
              <w:jc w:val="center"/>
              <w:rPr>
                <w:rFonts w:ascii="Verdana" w:hAnsi="Verdana" w:cs="Arial"/>
                <w:sz w:val="16"/>
                <w:szCs w:val="16"/>
                <w:lang w:eastAsia="sk-SK"/>
              </w:rPr>
            </w:pPr>
            <w:r w:rsidRPr="00DA2290">
              <w:rPr>
                <w:rFonts w:ascii="Verdana" w:hAnsi="Verdana" w:cs="Arial"/>
                <w:sz w:val="16"/>
                <w:szCs w:val="16"/>
                <w:lang w:eastAsia="sk-SK"/>
              </w:rPr>
              <w:t xml:space="preserve">Member benefits </w:t>
            </w:r>
            <w:r w:rsidR="00F92947" w:rsidRPr="00DA2290">
              <w:rPr>
                <w:rFonts w:ascii="Verdana" w:hAnsi="Verdana" w:cs="Arial"/>
                <w:sz w:val="16"/>
                <w:szCs w:val="16"/>
                <w:lang w:eastAsia="sk-SK"/>
              </w:rPr>
              <w:t xml:space="preserve">less likely to be affected and only if CAs pass on the costs to IORPs </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Up to date information on national provisions of prudential nature</w:t>
            </w:r>
          </w:p>
          <w:p w:rsidR="00F92947" w:rsidRPr="00DA2290" w:rsidRDefault="00F92947" w:rsidP="00FA6BBE">
            <w:pPr>
              <w:jc w:val="center"/>
              <w:rPr>
                <w:rFonts w:ascii="Verdana" w:hAnsi="Verdana" w:cs="Arial"/>
                <w:sz w:val="16"/>
                <w:szCs w:val="16"/>
                <w:lang w:eastAsia="sk-SK"/>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Indirect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 xml:space="preserve">Direct </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H</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19"/>
        </w:trPr>
        <w:tc>
          <w:tcPr>
            <w:tcW w:w="1851" w:type="dxa"/>
            <w:vMerge/>
            <w:tcBorders>
              <w:left w:val="single" w:sz="4" w:space="0" w:color="auto"/>
              <w:bottom w:val="nil"/>
              <w:right w:val="single" w:sz="4" w:space="0" w:color="auto"/>
            </w:tcBorders>
            <w:vAlign w:val="center"/>
          </w:tcPr>
          <w:p w:rsidR="00F92947" w:rsidRPr="00DA2290" w:rsidRDefault="00F92947" w:rsidP="00FA6BB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nil"/>
            </w:tcBorders>
            <w:noWrap/>
            <w:vAlign w:val="center"/>
          </w:tcPr>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IORPs and sponsoring undertakings</w:t>
            </w:r>
          </w:p>
        </w:tc>
        <w:tc>
          <w:tcPr>
            <w:tcW w:w="3070"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 xml:space="preserve">Less likely that costs would be passed on to IORPs under this option </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Up to date information on national provisions of prudential nature</w:t>
            </w:r>
          </w:p>
          <w:p w:rsidR="00F92947" w:rsidRPr="00DA2290" w:rsidRDefault="00F92947" w:rsidP="00FA6BBE">
            <w:pPr>
              <w:jc w:val="center"/>
              <w:rPr>
                <w:rFonts w:ascii="Verdana" w:hAnsi="Verdana" w:cs="Arial"/>
                <w:sz w:val="16"/>
                <w:szCs w:val="16"/>
                <w:lang w:eastAsia="sk-SK"/>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Indirect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Direct</w:t>
            </w: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H</w:t>
            </w: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L</w:t>
            </w: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04"/>
        </w:trPr>
        <w:tc>
          <w:tcPr>
            <w:tcW w:w="1851" w:type="dxa"/>
            <w:vMerge/>
            <w:tcBorders>
              <w:left w:val="single" w:sz="4" w:space="0" w:color="auto"/>
              <w:bottom w:val="nil"/>
              <w:right w:val="single" w:sz="4" w:space="0" w:color="auto"/>
            </w:tcBorders>
            <w:vAlign w:val="center"/>
          </w:tcPr>
          <w:p w:rsidR="00F92947" w:rsidRPr="00DA2290" w:rsidRDefault="00F92947" w:rsidP="00FA6BB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b/>
                <w:bCs/>
                <w:sz w:val="16"/>
                <w:szCs w:val="16"/>
                <w:lang w:eastAsia="sk-SK"/>
              </w:rPr>
            </w:pPr>
          </w:p>
          <w:p w:rsidR="00F92947" w:rsidRPr="00DA2290" w:rsidRDefault="00F92947" w:rsidP="00FA6BBE">
            <w:pPr>
              <w:jc w:val="center"/>
              <w:rPr>
                <w:rFonts w:ascii="Verdana" w:hAnsi="Verdana" w:cs="Arial"/>
                <w:b/>
                <w:bCs/>
                <w:sz w:val="16"/>
                <w:szCs w:val="16"/>
                <w:lang w:eastAsia="sk-SK"/>
              </w:rPr>
            </w:pPr>
            <w:r w:rsidRPr="00DA2290">
              <w:rPr>
                <w:rFonts w:ascii="Verdana" w:hAnsi="Verdana" w:cs="Arial"/>
                <w:b/>
                <w:bCs/>
                <w:sz w:val="16"/>
                <w:szCs w:val="16"/>
                <w:lang w:eastAsia="sk-SK"/>
              </w:rPr>
              <w:t>Competent authorities</w:t>
            </w:r>
          </w:p>
        </w:tc>
        <w:tc>
          <w:tcPr>
            <w:tcW w:w="3070"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 xml:space="preserve">The responsibility for the initial, annual and voluntary transmission </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Up to date information on national provisions of prudential nature</w:t>
            </w:r>
          </w:p>
        </w:tc>
        <w:tc>
          <w:tcPr>
            <w:tcW w:w="104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Direct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H</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H</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P</w:t>
            </w: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p>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P</w:t>
            </w:r>
          </w:p>
          <w:p w:rsidR="00F92947" w:rsidRPr="00DA2290" w:rsidRDefault="00F92947" w:rsidP="00FA6BBE">
            <w:pPr>
              <w:jc w:val="center"/>
              <w:rPr>
                <w:rFonts w:ascii="Verdana" w:hAnsi="Verdana" w:cs="Arial"/>
                <w:sz w:val="16"/>
                <w:szCs w:val="16"/>
                <w:lang w:eastAsia="sk-SK"/>
              </w:rPr>
            </w:pPr>
          </w:p>
        </w:tc>
      </w:tr>
      <w:tr w:rsidR="00F92947" w:rsidRPr="00DA2290" w:rsidTr="0051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5"/>
        </w:trPr>
        <w:tc>
          <w:tcPr>
            <w:tcW w:w="1851" w:type="dxa"/>
            <w:vMerge/>
            <w:tcBorders>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b/>
                <w:bCs/>
                <w:sz w:val="14"/>
                <w:szCs w:val="16"/>
                <w:lang w:eastAsia="sk-SK"/>
              </w:rPr>
            </w:pPr>
          </w:p>
        </w:tc>
        <w:tc>
          <w:tcPr>
            <w:tcW w:w="1693"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b/>
                <w:bCs/>
                <w:sz w:val="14"/>
                <w:szCs w:val="16"/>
                <w:lang w:eastAsia="sk-SK"/>
              </w:rPr>
            </w:pPr>
            <w:r w:rsidRPr="00DA2290">
              <w:rPr>
                <w:rFonts w:ascii="Verdana" w:hAnsi="Verdana" w:cs="Arial"/>
                <w:b/>
                <w:bCs/>
                <w:sz w:val="16"/>
                <w:szCs w:val="16"/>
                <w:lang w:eastAsia="sk-SK"/>
              </w:rPr>
              <w:t>EIOPA</w:t>
            </w:r>
          </w:p>
        </w:tc>
        <w:tc>
          <w:tcPr>
            <w:tcW w:w="3070"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6"/>
                <w:szCs w:val="16"/>
                <w:lang w:eastAsia="sk-SK"/>
              </w:rPr>
            </w:pPr>
            <w:r w:rsidRPr="00DA2290">
              <w:rPr>
                <w:rFonts w:ascii="Verdana" w:hAnsi="Verdana" w:cs="Arial"/>
                <w:sz w:val="16"/>
                <w:szCs w:val="16"/>
                <w:lang w:eastAsia="sk-SK"/>
              </w:rPr>
              <w:t>Up to date information on national provisions of prudential nature on EIOPA website</w:t>
            </w:r>
          </w:p>
          <w:p w:rsidR="00F92947" w:rsidRPr="00DA2290" w:rsidRDefault="00F92947" w:rsidP="00FA6BBE">
            <w:pPr>
              <w:jc w:val="center"/>
              <w:rPr>
                <w:rFonts w:ascii="Verdana" w:hAnsi="Verdana" w:cs="Arial"/>
                <w:sz w:val="14"/>
                <w:szCs w:val="16"/>
                <w:lang w:eastAsia="sk-SK"/>
              </w:rPr>
            </w:pPr>
          </w:p>
        </w:tc>
        <w:tc>
          <w:tcPr>
            <w:tcW w:w="1041"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4"/>
                <w:szCs w:val="16"/>
                <w:lang w:eastAsia="sk-SK"/>
              </w:rPr>
            </w:pPr>
            <w:r w:rsidRPr="00DA2290">
              <w:rPr>
                <w:rFonts w:ascii="Verdana" w:hAnsi="Verdana" w:cs="Arial"/>
                <w:sz w:val="16"/>
                <w:szCs w:val="16"/>
                <w:lang w:eastAsia="sk-SK"/>
              </w:rPr>
              <w:t>Direct</w:t>
            </w:r>
          </w:p>
        </w:tc>
        <w:tc>
          <w:tcPr>
            <w:tcW w:w="850"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4"/>
                <w:szCs w:val="16"/>
                <w:lang w:eastAsia="sk-SK"/>
              </w:rPr>
            </w:pPr>
            <w:r w:rsidRPr="00DA2290">
              <w:rPr>
                <w:rFonts w:ascii="Verdana" w:hAnsi="Verdana" w:cs="Arial"/>
                <w:sz w:val="16"/>
                <w:szCs w:val="16"/>
                <w:lang w:eastAsia="sk-SK"/>
              </w:rPr>
              <w:t>+</w:t>
            </w:r>
          </w:p>
        </w:tc>
        <w:tc>
          <w:tcPr>
            <w:tcW w:w="851"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4"/>
                <w:szCs w:val="16"/>
                <w:lang w:eastAsia="sk-SK"/>
              </w:rPr>
            </w:pPr>
            <w:r w:rsidRPr="00DA2290">
              <w:rPr>
                <w:rFonts w:ascii="Verdana" w:hAnsi="Verdana" w:cs="Arial"/>
                <w:sz w:val="16"/>
                <w:szCs w:val="16"/>
                <w:lang w:eastAsia="sk-SK"/>
              </w:rPr>
              <w:t>H</w:t>
            </w:r>
          </w:p>
        </w:tc>
        <w:tc>
          <w:tcPr>
            <w:tcW w:w="850" w:type="dxa"/>
            <w:tcBorders>
              <w:top w:val="single" w:sz="4" w:space="0" w:color="auto"/>
              <w:left w:val="single" w:sz="4" w:space="0" w:color="auto"/>
              <w:bottom w:val="single" w:sz="4" w:space="0" w:color="auto"/>
              <w:right w:val="single" w:sz="4" w:space="0" w:color="auto"/>
            </w:tcBorders>
            <w:vAlign w:val="center"/>
          </w:tcPr>
          <w:p w:rsidR="00F92947" w:rsidRPr="00DA2290" w:rsidRDefault="00F92947" w:rsidP="00FA6BBE">
            <w:pPr>
              <w:jc w:val="center"/>
              <w:rPr>
                <w:rFonts w:ascii="Verdana" w:hAnsi="Verdana" w:cs="Arial"/>
                <w:sz w:val="14"/>
                <w:szCs w:val="16"/>
                <w:lang w:eastAsia="sk-SK"/>
              </w:rPr>
            </w:pPr>
            <w:r w:rsidRPr="00DA2290">
              <w:rPr>
                <w:rFonts w:ascii="Verdana" w:hAnsi="Verdana" w:cs="Arial"/>
                <w:sz w:val="16"/>
                <w:szCs w:val="16"/>
                <w:lang w:eastAsia="sk-SK"/>
              </w:rPr>
              <w:t>P</w:t>
            </w:r>
          </w:p>
        </w:tc>
      </w:tr>
    </w:tbl>
    <w:p w:rsidR="00B73E9E" w:rsidRPr="00DA2290" w:rsidRDefault="00B73E9E" w:rsidP="00F92947">
      <w:pPr>
        <w:tabs>
          <w:tab w:val="left" w:pos="993"/>
        </w:tabs>
        <w:spacing w:line="276" w:lineRule="auto"/>
        <w:jc w:val="both"/>
        <w:rPr>
          <w:rFonts w:ascii="Verdana" w:hAnsi="Verdana"/>
          <w:bCs/>
          <w:sz w:val="22"/>
          <w:szCs w:val="22"/>
          <w:highlight w:val="yellow"/>
          <w:lang w:eastAsia="de-DE"/>
        </w:rPr>
      </w:pPr>
    </w:p>
    <w:tbl>
      <w:tblPr>
        <w:tblW w:w="10239" w:type="dxa"/>
        <w:jc w:val="center"/>
        <w:tblInd w:w="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5"/>
        <w:gridCol w:w="851"/>
        <w:gridCol w:w="1276"/>
        <w:gridCol w:w="1276"/>
        <w:gridCol w:w="1984"/>
        <w:gridCol w:w="1985"/>
        <w:gridCol w:w="1275"/>
        <w:gridCol w:w="1167"/>
      </w:tblGrid>
      <w:tr w:rsidR="00B73E9E" w:rsidRPr="00DA2290" w:rsidTr="00B73E9E">
        <w:trPr>
          <w:trHeight w:val="361"/>
          <w:jc w:val="center"/>
        </w:trPr>
        <w:tc>
          <w:tcPr>
            <w:tcW w:w="1276" w:type="dxa"/>
            <w:gridSpan w:val="2"/>
            <w:vMerge w:val="restart"/>
            <w:vAlign w:val="center"/>
          </w:tcPr>
          <w:p w:rsidR="00B73E9E" w:rsidRPr="00DA2290" w:rsidRDefault="00B73E9E" w:rsidP="00FA6BBE">
            <w:pPr>
              <w:jc w:val="center"/>
              <w:rPr>
                <w:rFonts w:ascii="Verdana" w:hAnsi="Verdana" w:cs="Arial"/>
                <w:b/>
                <w:sz w:val="16"/>
                <w:szCs w:val="16"/>
                <w:lang w:eastAsia="sk-SK"/>
              </w:rPr>
            </w:pPr>
            <w:r w:rsidRPr="00DA2290">
              <w:rPr>
                <w:rFonts w:ascii="Verdana" w:hAnsi="Verdana" w:cs="Arial"/>
                <w:b/>
                <w:sz w:val="16"/>
                <w:szCs w:val="16"/>
                <w:lang w:eastAsia="sk-SK"/>
              </w:rPr>
              <w:t>Policy Options</w:t>
            </w:r>
          </w:p>
        </w:tc>
        <w:tc>
          <w:tcPr>
            <w:tcW w:w="6521" w:type="dxa"/>
            <w:gridSpan w:val="4"/>
            <w:vAlign w:val="center"/>
          </w:tcPr>
          <w:p w:rsidR="00B73E9E" w:rsidRPr="00DA2290" w:rsidRDefault="00B73E9E" w:rsidP="00FA6BBE">
            <w:pPr>
              <w:jc w:val="center"/>
              <w:rPr>
                <w:rFonts w:ascii="Verdana" w:hAnsi="Verdana" w:cs="Arial"/>
                <w:b/>
                <w:bCs/>
                <w:sz w:val="16"/>
                <w:szCs w:val="16"/>
                <w:lang w:eastAsia="sk-SK"/>
              </w:rPr>
            </w:pPr>
            <w:r w:rsidRPr="00DA2290">
              <w:rPr>
                <w:rFonts w:ascii="Verdana" w:hAnsi="Verdana" w:cs="Arial"/>
                <w:b/>
                <w:bCs/>
                <w:sz w:val="16"/>
                <w:szCs w:val="16"/>
                <w:lang w:eastAsia="sk-SK"/>
              </w:rPr>
              <w:t>Relevant objectives</w:t>
            </w:r>
          </w:p>
        </w:tc>
        <w:tc>
          <w:tcPr>
            <w:tcW w:w="2442" w:type="dxa"/>
            <w:gridSpan w:val="2"/>
            <w:noWrap/>
            <w:vAlign w:val="center"/>
          </w:tcPr>
          <w:p w:rsidR="00B73E9E" w:rsidRPr="00DA2290" w:rsidRDefault="00B73E9E" w:rsidP="00FA6BBE">
            <w:pPr>
              <w:jc w:val="center"/>
              <w:rPr>
                <w:rFonts w:ascii="Verdana" w:hAnsi="Verdana" w:cs="Arial"/>
                <w:b/>
                <w:bCs/>
                <w:sz w:val="16"/>
                <w:szCs w:val="16"/>
                <w:lang w:eastAsia="sk-SK"/>
              </w:rPr>
            </w:pPr>
            <w:r w:rsidRPr="00DA2290">
              <w:rPr>
                <w:rFonts w:ascii="Verdana" w:hAnsi="Verdana" w:cs="Arial"/>
                <w:b/>
                <w:bCs/>
                <w:sz w:val="16"/>
                <w:szCs w:val="16"/>
                <w:lang w:eastAsia="sk-SK"/>
              </w:rPr>
              <w:t>Additional quality indicators</w:t>
            </w:r>
          </w:p>
        </w:tc>
      </w:tr>
      <w:tr w:rsidR="00B73E9E" w:rsidRPr="00DA2290" w:rsidTr="00B73E9E">
        <w:trPr>
          <w:trHeight w:val="1575"/>
          <w:jc w:val="center"/>
        </w:trPr>
        <w:tc>
          <w:tcPr>
            <w:tcW w:w="1276" w:type="dxa"/>
            <w:gridSpan w:val="2"/>
            <w:vMerge/>
          </w:tcPr>
          <w:p w:rsidR="00B73E9E" w:rsidRPr="00DA2290" w:rsidRDefault="00B73E9E" w:rsidP="00FA6BBE">
            <w:pPr>
              <w:jc w:val="center"/>
              <w:rPr>
                <w:rFonts w:ascii="Verdana" w:hAnsi="Verdana" w:cs="Arial"/>
                <w:b/>
                <w:sz w:val="16"/>
                <w:szCs w:val="16"/>
                <w:lang w:eastAsia="sk-SK"/>
              </w:rPr>
            </w:pPr>
          </w:p>
        </w:tc>
        <w:tc>
          <w:tcPr>
            <w:tcW w:w="2552" w:type="dxa"/>
            <w:gridSpan w:val="2"/>
            <w:shd w:val="clear" w:color="auto" w:fill="auto"/>
            <w:vAlign w:val="center"/>
          </w:tcPr>
          <w:p w:rsidR="00B73E9E" w:rsidRPr="00DA2290" w:rsidRDefault="00B73E9E" w:rsidP="00FA6BBE">
            <w:pPr>
              <w:rPr>
                <w:rFonts w:ascii="Verdana" w:hAnsi="Verdana" w:cs="Arial"/>
                <w:sz w:val="16"/>
                <w:szCs w:val="16"/>
                <w:lang w:eastAsia="sk-SK"/>
              </w:rPr>
            </w:pPr>
            <w:r w:rsidRPr="00DA2290">
              <w:rPr>
                <w:rFonts w:ascii="Verdana" w:hAnsi="Verdana" w:cs="Arial"/>
                <w:sz w:val="16"/>
                <w:szCs w:val="16"/>
                <w:lang w:eastAsia="sk-SK"/>
              </w:rPr>
              <w:t>to implement requirements of Article 20(11) of the IORP Directive</w:t>
            </w:r>
          </w:p>
        </w:tc>
        <w:tc>
          <w:tcPr>
            <w:tcW w:w="3969" w:type="dxa"/>
            <w:gridSpan w:val="2"/>
            <w:shd w:val="clear" w:color="auto" w:fill="auto"/>
            <w:noWrap/>
            <w:vAlign w:val="center"/>
          </w:tcPr>
          <w:p w:rsidR="00B73E9E" w:rsidRPr="00DA2290" w:rsidRDefault="00B73E9E" w:rsidP="00FA6BBE">
            <w:pPr>
              <w:rPr>
                <w:rFonts w:ascii="Verdana" w:hAnsi="Verdana" w:cs="Arial"/>
                <w:sz w:val="16"/>
                <w:szCs w:val="16"/>
                <w:lang w:eastAsia="sk-SK"/>
              </w:rPr>
            </w:pPr>
            <w:r w:rsidRPr="00DA2290">
              <w:rPr>
                <w:rFonts w:ascii="Verdana" w:hAnsi="Verdana" w:cs="Arial"/>
                <w:sz w:val="16"/>
                <w:szCs w:val="16"/>
                <w:lang w:eastAsia="sk-SK"/>
              </w:rPr>
              <w:t>to create a centralised source of information at EU level on national provisions of prudential nature by providing uniform procedures, formats and templates to be used by CAs when transmitting and updating information to EIOPA</w:t>
            </w:r>
          </w:p>
        </w:tc>
        <w:tc>
          <w:tcPr>
            <w:tcW w:w="1275"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sustainability</w:t>
            </w:r>
          </w:p>
        </w:tc>
        <w:tc>
          <w:tcPr>
            <w:tcW w:w="1167"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consistency</w:t>
            </w:r>
          </w:p>
        </w:tc>
      </w:tr>
      <w:tr w:rsidR="00B73E9E" w:rsidRPr="00DA2290" w:rsidTr="00B73E9E">
        <w:trPr>
          <w:trHeight w:val="472"/>
          <w:jc w:val="center"/>
        </w:trPr>
        <w:tc>
          <w:tcPr>
            <w:tcW w:w="1276" w:type="dxa"/>
            <w:gridSpan w:val="2"/>
            <w:vMerge/>
          </w:tcPr>
          <w:p w:rsidR="00B73E9E" w:rsidRPr="00DA2290" w:rsidRDefault="00B73E9E" w:rsidP="00FA6BBE">
            <w:pPr>
              <w:jc w:val="center"/>
              <w:rPr>
                <w:rFonts w:ascii="Verdana" w:hAnsi="Verdana" w:cs="Arial"/>
                <w:b/>
                <w:sz w:val="16"/>
                <w:szCs w:val="16"/>
                <w:lang w:eastAsia="sk-SK"/>
              </w:rPr>
            </w:pPr>
          </w:p>
        </w:tc>
        <w:tc>
          <w:tcPr>
            <w:tcW w:w="1276" w:type="dxa"/>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Effectiveness (0/+/++)</w:t>
            </w:r>
          </w:p>
        </w:tc>
        <w:tc>
          <w:tcPr>
            <w:tcW w:w="1276" w:type="dxa"/>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Efficiency (0/+/++)</w:t>
            </w:r>
          </w:p>
        </w:tc>
        <w:tc>
          <w:tcPr>
            <w:tcW w:w="1984" w:type="dxa"/>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Effectiveness (0/+/++)</w:t>
            </w:r>
          </w:p>
        </w:tc>
        <w:tc>
          <w:tcPr>
            <w:tcW w:w="1985" w:type="dxa"/>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Efficiency (0/+/++)</w:t>
            </w:r>
          </w:p>
        </w:tc>
        <w:tc>
          <w:tcPr>
            <w:tcW w:w="1275" w:type="dxa"/>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(0/+/++)</w:t>
            </w:r>
          </w:p>
        </w:tc>
        <w:tc>
          <w:tcPr>
            <w:tcW w:w="1167" w:type="dxa"/>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(0/+/++)</w:t>
            </w:r>
          </w:p>
        </w:tc>
      </w:tr>
      <w:tr w:rsidR="00B73E9E" w:rsidRPr="00DA2290" w:rsidTr="00B73E9E">
        <w:trPr>
          <w:trHeight w:val="416"/>
          <w:jc w:val="center"/>
        </w:trPr>
        <w:tc>
          <w:tcPr>
            <w:tcW w:w="425" w:type="dxa"/>
            <w:vMerge w:val="restart"/>
            <w:vAlign w:val="center"/>
          </w:tcPr>
          <w:p w:rsidR="00B73E9E" w:rsidRPr="00DA2290" w:rsidRDefault="00B73E9E" w:rsidP="00B73E9E">
            <w:pPr>
              <w:jc w:val="center"/>
              <w:rPr>
                <w:rFonts w:ascii="Verdana" w:hAnsi="Verdana" w:cs="Arial"/>
                <w:b/>
                <w:sz w:val="16"/>
                <w:szCs w:val="16"/>
                <w:highlight w:val="yellow"/>
                <w:lang w:eastAsia="sk-SK"/>
              </w:rPr>
            </w:pPr>
            <w:r w:rsidRPr="00DA2290">
              <w:rPr>
                <w:rFonts w:ascii="Verdana" w:hAnsi="Verdana" w:cs="Arial"/>
                <w:b/>
                <w:sz w:val="16"/>
                <w:szCs w:val="16"/>
                <w:lang w:eastAsia="sk-SK"/>
              </w:rPr>
              <w:t>Set 2</w:t>
            </w:r>
          </w:p>
        </w:tc>
        <w:tc>
          <w:tcPr>
            <w:tcW w:w="851" w:type="dxa"/>
            <w:noWrap/>
            <w:vAlign w:val="center"/>
          </w:tcPr>
          <w:p w:rsidR="00B73E9E" w:rsidRPr="00DA2290" w:rsidRDefault="00B73E9E" w:rsidP="00FA6BBE">
            <w:pPr>
              <w:jc w:val="center"/>
              <w:rPr>
                <w:rFonts w:ascii="Verdana" w:hAnsi="Verdana" w:cs="Arial"/>
                <w:b/>
                <w:sz w:val="16"/>
                <w:szCs w:val="16"/>
                <w:lang w:eastAsia="sk-SK"/>
              </w:rPr>
            </w:pPr>
          </w:p>
          <w:p w:rsidR="00B73E9E" w:rsidRPr="00DA2290" w:rsidRDefault="00B73E9E" w:rsidP="00FA6BBE">
            <w:pPr>
              <w:jc w:val="center"/>
              <w:rPr>
                <w:rFonts w:ascii="Verdana" w:hAnsi="Verdana" w:cs="Arial"/>
                <w:b/>
                <w:sz w:val="16"/>
                <w:szCs w:val="16"/>
                <w:lang w:eastAsia="sk-SK"/>
              </w:rPr>
            </w:pPr>
            <w:r w:rsidRPr="00DA2290">
              <w:rPr>
                <w:rFonts w:ascii="Verdana" w:hAnsi="Verdana" w:cs="Arial"/>
                <w:b/>
                <w:sz w:val="16"/>
                <w:szCs w:val="16"/>
                <w:lang w:eastAsia="sk-SK"/>
              </w:rPr>
              <w:t xml:space="preserve">Option </w:t>
            </w:r>
            <w:r w:rsidR="006A2A29" w:rsidRPr="00DA2290">
              <w:rPr>
                <w:rFonts w:ascii="Verdana" w:hAnsi="Verdana" w:cs="Arial"/>
                <w:b/>
                <w:sz w:val="16"/>
                <w:szCs w:val="16"/>
                <w:lang w:eastAsia="sk-SK"/>
              </w:rPr>
              <w:t>2.</w:t>
            </w:r>
            <w:r w:rsidRPr="00DA2290">
              <w:rPr>
                <w:rFonts w:ascii="Verdana" w:hAnsi="Verdana" w:cs="Arial"/>
                <w:b/>
                <w:sz w:val="16"/>
                <w:szCs w:val="16"/>
                <w:lang w:eastAsia="sk-SK"/>
              </w:rPr>
              <w:t>1</w:t>
            </w:r>
          </w:p>
          <w:p w:rsidR="00B73E9E" w:rsidRPr="00DA2290" w:rsidRDefault="00B73E9E" w:rsidP="00FA6BBE">
            <w:pPr>
              <w:jc w:val="center"/>
              <w:rPr>
                <w:rFonts w:ascii="Verdana" w:hAnsi="Verdana" w:cs="Arial"/>
                <w:b/>
                <w:sz w:val="16"/>
                <w:szCs w:val="16"/>
                <w:lang w:eastAsia="sk-SK"/>
              </w:rPr>
            </w:pPr>
          </w:p>
        </w:tc>
        <w:tc>
          <w:tcPr>
            <w:tcW w:w="1276"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0</w:t>
            </w:r>
          </w:p>
        </w:tc>
        <w:tc>
          <w:tcPr>
            <w:tcW w:w="1276"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1984"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0</w:t>
            </w:r>
          </w:p>
        </w:tc>
        <w:tc>
          <w:tcPr>
            <w:tcW w:w="1985"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1275"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0</w:t>
            </w:r>
          </w:p>
        </w:tc>
        <w:tc>
          <w:tcPr>
            <w:tcW w:w="1167"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0</w:t>
            </w:r>
          </w:p>
        </w:tc>
      </w:tr>
      <w:tr w:rsidR="00B73E9E" w:rsidRPr="00DA2290" w:rsidTr="00B73E9E">
        <w:trPr>
          <w:trHeight w:val="402"/>
          <w:jc w:val="center"/>
        </w:trPr>
        <w:tc>
          <w:tcPr>
            <w:tcW w:w="425" w:type="dxa"/>
            <w:vMerge/>
          </w:tcPr>
          <w:p w:rsidR="00B73E9E" w:rsidRPr="00DA2290" w:rsidRDefault="00B73E9E" w:rsidP="00FA6BBE">
            <w:pPr>
              <w:jc w:val="center"/>
              <w:rPr>
                <w:rFonts w:ascii="Verdana" w:hAnsi="Verdana" w:cs="Arial"/>
                <w:b/>
                <w:sz w:val="16"/>
                <w:szCs w:val="16"/>
                <w:lang w:eastAsia="sk-SK"/>
              </w:rPr>
            </w:pPr>
          </w:p>
        </w:tc>
        <w:tc>
          <w:tcPr>
            <w:tcW w:w="851" w:type="dxa"/>
            <w:noWrap/>
            <w:vAlign w:val="center"/>
          </w:tcPr>
          <w:p w:rsidR="00B73E9E" w:rsidRPr="00DA2290" w:rsidRDefault="00B73E9E" w:rsidP="00FA6BBE">
            <w:pPr>
              <w:jc w:val="center"/>
              <w:rPr>
                <w:rFonts w:ascii="Verdana" w:hAnsi="Verdana" w:cs="Arial"/>
                <w:b/>
                <w:sz w:val="16"/>
                <w:szCs w:val="16"/>
                <w:lang w:eastAsia="sk-SK"/>
              </w:rPr>
            </w:pPr>
          </w:p>
          <w:p w:rsidR="00B73E9E" w:rsidRPr="00DA2290" w:rsidRDefault="00B73E9E" w:rsidP="00FA6BBE">
            <w:pPr>
              <w:jc w:val="center"/>
              <w:rPr>
                <w:rFonts w:ascii="Verdana" w:hAnsi="Verdana" w:cs="Arial"/>
                <w:b/>
                <w:sz w:val="16"/>
                <w:szCs w:val="16"/>
                <w:lang w:eastAsia="sk-SK"/>
              </w:rPr>
            </w:pPr>
            <w:r w:rsidRPr="00DA2290">
              <w:rPr>
                <w:rFonts w:ascii="Verdana" w:hAnsi="Verdana" w:cs="Arial"/>
                <w:b/>
                <w:sz w:val="16"/>
                <w:szCs w:val="16"/>
                <w:lang w:eastAsia="sk-SK"/>
              </w:rPr>
              <w:t xml:space="preserve">Option </w:t>
            </w:r>
            <w:r w:rsidR="006A2A29" w:rsidRPr="00DA2290">
              <w:rPr>
                <w:rFonts w:ascii="Verdana" w:hAnsi="Verdana" w:cs="Arial"/>
                <w:b/>
                <w:sz w:val="16"/>
                <w:szCs w:val="16"/>
                <w:lang w:eastAsia="sk-SK"/>
              </w:rPr>
              <w:t>2.</w:t>
            </w:r>
            <w:r w:rsidRPr="00DA2290">
              <w:rPr>
                <w:rFonts w:ascii="Verdana" w:hAnsi="Verdana" w:cs="Arial"/>
                <w:b/>
                <w:sz w:val="16"/>
                <w:szCs w:val="16"/>
                <w:lang w:eastAsia="sk-SK"/>
              </w:rPr>
              <w:t>2</w:t>
            </w:r>
          </w:p>
          <w:p w:rsidR="00B73E9E" w:rsidRPr="00DA2290" w:rsidRDefault="00B73E9E" w:rsidP="00FA6BBE">
            <w:pPr>
              <w:jc w:val="center"/>
              <w:rPr>
                <w:rFonts w:ascii="Verdana" w:hAnsi="Verdana" w:cs="Arial"/>
                <w:b/>
                <w:sz w:val="16"/>
                <w:szCs w:val="16"/>
                <w:lang w:eastAsia="sk-SK"/>
              </w:rPr>
            </w:pPr>
          </w:p>
        </w:tc>
        <w:tc>
          <w:tcPr>
            <w:tcW w:w="1276"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1276"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1984"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1985"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1275"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c>
          <w:tcPr>
            <w:tcW w:w="1167" w:type="dxa"/>
            <w:noWrap/>
            <w:vAlign w:val="center"/>
          </w:tcPr>
          <w:p w:rsidR="00B73E9E" w:rsidRPr="00DA2290" w:rsidRDefault="00B73E9E" w:rsidP="00FA6BBE">
            <w:pPr>
              <w:jc w:val="center"/>
              <w:rPr>
                <w:rFonts w:ascii="Verdana" w:hAnsi="Verdana" w:cs="Arial"/>
                <w:sz w:val="16"/>
                <w:szCs w:val="16"/>
                <w:lang w:eastAsia="sk-SK"/>
              </w:rPr>
            </w:pPr>
            <w:r w:rsidRPr="00DA2290">
              <w:rPr>
                <w:rFonts w:ascii="Verdana" w:hAnsi="Verdana" w:cs="Arial"/>
                <w:sz w:val="16"/>
                <w:szCs w:val="16"/>
                <w:lang w:eastAsia="sk-SK"/>
              </w:rPr>
              <w:t>++</w:t>
            </w:r>
          </w:p>
        </w:tc>
      </w:tr>
    </w:tbl>
    <w:p w:rsidR="00B73E9E" w:rsidRPr="00DA2290" w:rsidRDefault="00B73E9E" w:rsidP="00F92947">
      <w:pPr>
        <w:tabs>
          <w:tab w:val="left" w:pos="993"/>
        </w:tabs>
        <w:spacing w:line="276" w:lineRule="auto"/>
        <w:jc w:val="both"/>
        <w:rPr>
          <w:rFonts w:ascii="Verdana" w:hAnsi="Verdana"/>
          <w:bCs/>
          <w:sz w:val="22"/>
          <w:szCs w:val="22"/>
          <w:highlight w:val="yellow"/>
          <w:lang w:eastAsia="de-DE"/>
        </w:rPr>
      </w:pPr>
    </w:p>
    <w:p w:rsidR="005446F3" w:rsidRPr="00DA2290" w:rsidRDefault="005446F3" w:rsidP="004D2CA4">
      <w:pPr>
        <w:pStyle w:val="ListParagraph"/>
        <w:tabs>
          <w:tab w:val="num" w:pos="1980"/>
        </w:tabs>
        <w:autoSpaceDE w:val="0"/>
        <w:autoSpaceDN w:val="0"/>
        <w:adjustRightInd w:val="0"/>
        <w:spacing w:before="120"/>
        <w:ind w:left="0"/>
        <w:jc w:val="both"/>
        <w:rPr>
          <w:rFonts w:ascii="Verdana" w:hAnsi="Verdana"/>
          <w:b/>
          <w:i/>
          <w:sz w:val="20"/>
          <w:u w:val="single"/>
        </w:rPr>
      </w:pPr>
      <w:r w:rsidRPr="00DA2290">
        <w:rPr>
          <w:rFonts w:ascii="Verdana" w:hAnsi="Verdana"/>
          <w:b/>
          <w:i/>
          <w:sz w:val="22"/>
          <w:u w:val="single"/>
        </w:rPr>
        <w:t xml:space="preserve">Conclusion with regard to the </w:t>
      </w:r>
      <w:r w:rsidR="007E254D" w:rsidRPr="00DA2290">
        <w:rPr>
          <w:rFonts w:ascii="Verdana" w:hAnsi="Verdana"/>
          <w:b/>
          <w:i/>
          <w:sz w:val="22"/>
          <w:u w:val="single"/>
        </w:rPr>
        <w:t xml:space="preserve">Set 2 of policy options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cs="Arial"/>
          <w:sz w:val="22"/>
          <w:szCs w:val="22"/>
        </w:rPr>
      </w:pPr>
      <w:r w:rsidRPr="00DA2290">
        <w:rPr>
          <w:rFonts w:ascii="Verdana" w:hAnsi="Verdana" w:cs="Arial"/>
          <w:sz w:val="22"/>
          <w:szCs w:val="22"/>
        </w:rPr>
        <w:t>Bas</w:t>
      </w:r>
      <w:r w:rsidR="00761234" w:rsidRPr="00DA2290">
        <w:rPr>
          <w:rFonts w:ascii="Verdana" w:hAnsi="Verdana" w:cs="Arial"/>
          <w:sz w:val="22"/>
          <w:szCs w:val="22"/>
        </w:rPr>
        <w:t>ed</w:t>
      </w:r>
      <w:r w:rsidRPr="00DA2290">
        <w:rPr>
          <w:rFonts w:ascii="Verdana" w:hAnsi="Verdana" w:cs="Arial"/>
          <w:sz w:val="22"/>
          <w:szCs w:val="22"/>
        </w:rPr>
        <w:t xml:space="preserve"> on the experience of CAs, EIOPA concludes that </w:t>
      </w:r>
      <w:r w:rsidR="0083116C" w:rsidRPr="00DA2290">
        <w:rPr>
          <w:rFonts w:ascii="Verdana" w:hAnsi="Verdana" w:cs="Arial"/>
          <w:sz w:val="22"/>
          <w:szCs w:val="22"/>
        </w:rPr>
        <w:t xml:space="preserve">the </w:t>
      </w:r>
      <w:r w:rsidRPr="00DA2290">
        <w:rPr>
          <w:rFonts w:ascii="Verdana" w:hAnsi="Verdana"/>
          <w:sz w:val="22"/>
          <w:szCs w:val="22"/>
        </w:rPr>
        <w:t>benefits</w:t>
      </w:r>
      <w:r w:rsidRPr="00DA2290">
        <w:rPr>
          <w:rFonts w:ascii="Verdana" w:hAnsi="Verdana" w:cs="Arial"/>
          <w:sz w:val="22"/>
          <w:szCs w:val="22"/>
        </w:rPr>
        <w:t xml:space="preserve"> of requiring competent authorities to transmit information on the “significant change” in the legislation (</w:t>
      </w:r>
      <w:r w:rsidR="007E254D" w:rsidRPr="00DA2290">
        <w:rPr>
          <w:rFonts w:ascii="Verdana" w:hAnsi="Verdana" w:cs="Arial"/>
          <w:sz w:val="22"/>
          <w:szCs w:val="22"/>
        </w:rPr>
        <w:t xml:space="preserve">Option </w:t>
      </w:r>
      <w:r w:rsidR="001503CB" w:rsidRPr="00DA2290">
        <w:rPr>
          <w:rFonts w:ascii="Verdana" w:hAnsi="Verdana" w:cs="Arial"/>
          <w:sz w:val="22"/>
          <w:szCs w:val="22"/>
        </w:rPr>
        <w:t>2.</w:t>
      </w:r>
      <w:r w:rsidR="007E254D" w:rsidRPr="00DA2290">
        <w:rPr>
          <w:rFonts w:ascii="Verdana" w:hAnsi="Verdana" w:cs="Arial"/>
          <w:sz w:val="22"/>
          <w:szCs w:val="22"/>
        </w:rPr>
        <w:t>1</w:t>
      </w:r>
      <w:r w:rsidRPr="00DA2290">
        <w:rPr>
          <w:rFonts w:ascii="Verdana" w:hAnsi="Verdana" w:cs="Arial"/>
          <w:sz w:val="22"/>
          <w:szCs w:val="22"/>
        </w:rPr>
        <w:t xml:space="preserve">) are outweighed by the costs. These costs may be passed on to IORPs and sponsoring undertakings and ultimately to members and beneficiaries. Therefore, </w:t>
      </w:r>
      <w:r w:rsidR="00C06A19" w:rsidRPr="00DA2290">
        <w:rPr>
          <w:rFonts w:ascii="Verdana" w:hAnsi="Verdana" w:cs="Arial"/>
          <w:sz w:val="22"/>
          <w:szCs w:val="22"/>
        </w:rPr>
        <w:t xml:space="preserve">considering that provisions </w:t>
      </w:r>
      <w:r w:rsidR="00B44EA3" w:rsidRPr="00DA2290">
        <w:rPr>
          <w:rFonts w:ascii="Verdana" w:hAnsi="Verdana" w:cs="Arial"/>
          <w:sz w:val="22"/>
          <w:szCs w:val="22"/>
        </w:rPr>
        <w:t xml:space="preserve">of prudential nature </w:t>
      </w:r>
      <w:r w:rsidR="00C06A19" w:rsidRPr="00DA2290">
        <w:rPr>
          <w:rFonts w:ascii="Verdana" w:hAnsi="Verdana" w:cs="Arial"/>
          <w:sz w:val="22"/>
          <w:szCs w:val="22"/>
        </w:rPr>
        <w:t xml:space="preserve">do not change that frequently, </w:t>
      </w:r>
      <w:r w:rsidRPr="00DA2290">
        <w:rPr>
          <w:rFonts w:ascii="Verdana" w:hAnsi="Verdana" w:cs="Arial"/>
          <w:sz w:val="22"/>
          <w:szCs w:val="22"/>
        </w:rPr>
        <w:t xml:space="preserve">it was concluded that </w:t>
      </w:r>
      <w:r w:rsidR="004D1B87" w:rsidRPr="00DA2290">
        <w:rPr>
          <w:rFonts w:ascii="Verdana" w:hAnsi="Verdana" w:cs="Arial"/>
          <w:sz w:val="22"/>
          <w:szCs w:val="22"/>
        </w:rPr>
        <w:t xml:space="preserve">Option </w:t>
      </w:r>
      <w:r w:rsidR="001503CB" w:rsidRPr="00DA2290">
        <w:rPr>
          <w:rFonts w:ascii="Verdana" w:hAnsi="Verdana" w:cs="Arial"/>
          <w:sz w:val="22"/>
          <w:szCs w:val="22"/>
        </w:rPr>
        <w:t>2.</w:t>
      </w:r>
      <w:r w:rsidR="004D1B87" w:rsidRPr="00DA2290">
        <w:rPr>
          <w:rFonts w:ascii="Verdana" w:hAnsi="Verdana" w:cs="Arial"/>
          <w:sz w:val="22"/>
          <w:szCs w:val="22"/>
        </w:rPr>
        <w:t xml:space="preserve">2 </w:t>
      </w:r>
      <w:r w:rsidRPr="00DA2290">
        <w:rPr>
          <w:rFonts w:ascii="Verdana" w:hAnsi="Verdana" w:cs="Arial"/>
          <w:sz w:val="22"/>
          <w:szCs w:val="22"/>
        </w:rPr>
        <w:t>better fulfils the objectives of</w:t>
      </w:r>
      <w:r w:rsidR="00824E84" w:rsidRPr="00DA2290">
        <w:rPr>
          <w:rFonts w:ascii="Verdana" w:hAnsi="Verdana" w:cs="Arial"/>
          <w:sz w:val="22"/>
          <w:szCs w:val="22"/>
        </w:rPr>
        <w:t xml:space="preserve"> the</w:t>
      </w:r>
      <w:r w:rsidRPr="00DA2290">
        <w:rPr>
          <w:rFonts w:ascii="Verdana" w:hAnsi="Verdana" w:cs="Arial"/>
          <w:sz w:val="22"/>
          <w:szCs w:val="22"/>
        </w:rPr>
        <w:t xml:space="preserve"> </w:t>
      </w:r>
      <w:r w:rsidR="00B44EA3" w:rsidRPr="00DA2290">
        <w:rPr>
          <w:rFonts w:ascii="Verdana" w:hAnsi="Verdana" w:cs="Arial"/>
          <w:sz w:val="22"/>
          <w:szCs w:val="22"/>
        </w:rPr>
        <w:t xml:space="preserve">draft </w:t>
      </w:r>
      <w:r w:rsidRPr="00DA2290">
        <w:rPr>
          <w:rFonts w:ascii="Verdana" w:hAnsi="Verdana" w:cs="Arial"/>
          <w:sz w:val="22"/>
          <w:szCs w:val="22"/>
        </w:rPr>
        <w:t xml:space="preserve">ITS. </w:t>
      </w:r>
    </w:p>
    <w:p w:rsidR="00D53A8B" w:rsidRPr="00DA2290" w:rsidRDefault="00D53A8B" w:rsidP="006C3B31">
      <w:pPr>
        <w:autoSpaceDE w:val="0"/>
        <w:autoSpaceDN w:val="0"/>
        <w:adjustRightInd w:val="0"/>
        <w:spacing w:before="120"/>
        <w:jc w:val="both"/>
        <w:rPr>
          <w:rFonts w:ascii="Verdana" w:hAnsi="Verdana" w:cs="EUAlberti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C3B31" w:rsidRPr="00DA2290" w:rsidTr="005501A2">
        <w:tc>
          <w:tcPr>
            <w:tcW w:w="8856" w:type="dxa"/>
          </w:tcPr>
          <w:p w:rsidR="006C3B31" w:rsidRPr="00DA2290" w:rsidRDefault="006C3B31" w:rsidP="005501A2">
            <w:pPr>
              <w:tabs>
                <w:tab w:val="num" w:pos="1980"/>
              </w:tabs>
              <w:autoSpaceDE w:val="0"/>
              <w:autoSpaceDN w:val="0"/>
              <w:adjustRightInd w:val="0"/>
              <w:spacing w:before="120"/>
              <w:jc w:val="both"/>
              <w:rPr>
                <w:rFonts w:ascii="Verdana" w:hAnsi="Verdana"/>
              </w:rPr>
            </w:pPr>
            <w:r w:rsidRPr="00DA2290">
              <w:rPr>
                <w:rFonts w:ascii="Verdana" w:hAnsi="Verdana"/>
                <w:b/>
              </w:rPr>
              <w:t>5: Monitoring and evaluation</w:t>
            </w:r>
          </w:p>
        </w:tc>
      </w:tr>
    </w:tbl>
    <w:p w:rsidR="006C3B31" w:rsidRPr="00DA2290" w:rsidRDefault="006C3B31" w:rsidP="006C3B31">
      <w:pPr>
        <w:numPr>
          <w:ilvl w:val="0"/>
          <w:numId w:val="40"/>
        </w:numPr>
        <w:autoSpaceDE w:val="0"/>
        <w:autoSpaceDN w:val="0"/>
        <w:adjustRightInd w:val="0"/>
        <w:spacing w:before="120" w:line="276" w:lineRule="auto"/>
        <w:ind w:left="567" w:hanging="567"/>
        <w:jc w:val="both"/>
        <w:rPr>
          <w:sz w:val="22"/>
          <w:szCs w:val="22"/>
        </w:rPr>
      </w:pPr>
      <w:r w:rsidRPr="00DA2290">
        <w:rPr>
          <w:rFonts w:ascii="Verdana" w:hAnsi="Verdana"/>
          <w:sz w:val="22"/>
          <w:szCs w:val="22"/>
        </w:rPr>
        <w:t xml:space="preserve">The evaluation will test if the standards are effective and efficient against the objectives specified in point 3 of the impact assessment. This could be done by e.g. conducting surveys, drafting reports etc. </w:t>
      </w:r>
    </w:p>
    <w:p w:rsidR="006C3B31" w:rsidRPr="00DA2290" w:rsidRDefault="006C3B31" w:rsidP="006C3B31">
      <w:pPr>
        <w:numPr>
          <w:ilvl w:val="0"/>
          <w:numId w:val="40"/>
        </w:numPr>
        <w:autoSpaceDE w:val="0"/>
        <w:autoSpaceDN w:val="0"/>
        <w:adjustRightInd w:val="0"/>
        <w:spacing w:before="120" w:line="276" w:lineRule="auto"/>
        <w:ind w:left="567" w:hanging="567"/>
        <w:jc w:val="both"/>
        <w:rPr>
          <w:rFonts w:ascii="Verdana" w:hAnsi="Verdana"/>
          <w:sz w:val="22"/>
          <w:szCs w:val="22"/>
        </w:rPr>
      </w:pPr>
      <w:r w:rsidRPr="00DA2290">
        <w:rPr>
          <w:rFonts w:ascii="Verdana" w:hAnsi="Verdana"/>
          <w:sz w:val="22"/>
          <w:szCs w:val="22"/>
        </w:rPr>
        <w:t xml:space="preserve">Monitoring could include reporting on failures on e.g. providing information within deadlines, providing relevant information as identified in the standard, use of template etc. </w:t>
      </w:r>
    </w:p>
    <w:p w:rsidR="006C3B31" w:rsidRPr="00DA2290" w:rsidRDefault="006C3B31" w:rsidP="006C3B31">
      <w:pPr>
        <w:pStyle w:val="NoSpacing"/>
      </w:pPr>
    </w:p>
    <w:tbl>
      <w:tblPr>
        <w:tblW w:w="9200" w:type="dxa"/>
        <w:tblCellMar>
          <w:left w:w="0" w:type="dxa"/>
          <w:right w:w="0" w:type="dxa"/>
        </w:tblCellMar>
        <w:tblLook w:val="00A0" w:firstRow="1" w:lastRow="0" w:firstColumn="1" w:lastColumn="0" w:noHBand="0" w:noVBand="0"/>
      </w:tblPr>
      <w:tblGrid>
        <w:gridCol w:w="4361"/>
        <w:gridCol w:w="4839"/>
      </w:tblGrid>
      <w:tr w:rsidR="006C3B31" w:rsidRPr="00DA2290" w:rsidTr="00E07AC2">
        <w:trPr>
          <w:trHeight w:val="425"/>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3B31" w:rsidRPr="00DA2290" w:rsidRDefault="006C3B31" w:rsidP="00E07AC2">
            <w:pPr>
              <w:jc w:val="center"/>
              <w:rPr>
                <w:rFonts w:ascii="Verdana" w:hAnsi="Verdana" w:cs="Calibri"/>
                <w:b/>
                <w:bCs/>
                <w:sz w:val="20"/>
                <w:szCs w:val="16"/>
              </w:rPr>
            </w:pPr>
            <w:r w:rsidRPr="00DA2290">
              <w:rPr>
                <w:rFonts w:ascii="Verdana" w:hAnsi="Verdana"/>
                <w:b/>
                <w:bCs/>
                <w:sz w:val="20"/>
                <w:szCs w:val="16"/>
              </w:rPr>
              <w:t>Objective</w:t>
            </w:r>
          </w:p>
        </w:tc>
        <w:tc>
          <w:tcPr>
            <w:tcW w:w="48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3B31" w:rsidRPr="00DA2290" w:rsidRDefault="006C3B31" w:rsidP="00E07AC2">
            <w:pPr>
              <w:jc w:val="center"/>
              <w:rPr>
                <w:rFonts w:ascii="Verdana" w:hAnsi="Verdana" w:cs="Calibri"/>
                <w:b/>
                <w:bCs/>
                <w:sz w:val="20"/>
                <w:szCs w:val="16"/>
              </w:rPr>
            </w:pPr>
            <w:r w:rsidRPr="00DA2290">
              <w:rPr>
                <w:rFonts w:ascii="Verdana" w:hAnsi="Verdana"/>
                <w:b/>
                <w:bCs/>
                <w:sz w:val="20"/>
                <w:szCs w:val="16"/>
              </w:rPr>
              <w:t>Indicators</w:t>
            </w:r>
          </w:p>
        </w:tc>
      </w:tr>
      <w:tr w:rsidR="006C3B31" w:rsidRPr="00DA2290" w:rsidTr="005501A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3B31" w:rsidRPr="00DA2290" w:rsidRDefault="0052376D" w:rsidP="00E95F2C">
            <w:pPr>
              <w:jc w:val="both"/>
              <w:rPr>
                <w:rFonts w:ascii="Verdana" w:hAnsi="Verdana" w:cs="Calibri"/>
                <w:sz w:val="20"/>
                <w:szCs w:val="16"/>
              </w:rPr>
            </w:pPr>
            <w:r w:rsidRPr="00DA2290">
              <w:rPr>
                <w:rFonts w:ascii="Verdana" w:hAnsi="Verdana"/>
                <w:sz w:val="20"/>
                <w:szCs w:val="16"/>
              </w:rPr>
              <w:t>T</w:t>
            </w:r>
            <w:r w:rsidR="006C3B31" w:rsidRPr="00DA2290">
              <w:rPr>
                <w:rFonts w:ascii="Verdana" w:hAnsi="Verdana"/>
                <w:sz w:val="20"/>
                <w:szCs w:val="16"/>
              </w:rPr>
              <w:t>o implement requirements of Article 20(11) of the IORP Directive</w:t>
            </w:r>
          </w:p>
        </w:tc>
        <w:tc>
          <w:tcPr>
            <w:tcW w:w="4839" w:type="dxa"/>
            <w:tcBorders>
              <w:top w:val="nil"/>
              <w:left w:val="nil"/>
              <w:bottom w:val="single" w:sz="8" w:space="0" w:color="auto"/>
              <w:right w:val="single" w:sz="8" w:space="0" w:color="auto"/>
            </w:tcBorders>
            <w:tcMar>
              <w:top w:w="0" w:type="dxa"/>
              <w:left w:w="108" w:type="dxa"/>
              <w:bottom w:w="0" w:type="dxa"/>
              <w:right w:w="108" w:type="dxa"/>
            </w:tcMar>
            <w:vAlign w:val="center"/>
          </w:tcPr>
          <w:p w:rsidR="006C3B31" w:rsidRPr="00DA2290" w:rsidRDefault="006C3B31" w:rsidP="005501A2">
            <w:pPr>
              <w:rPr>
                <w:rFonts w:ascii="Verdana" w:hAnsi="Verdana" w:cs="Calibri"/>
                <w:sz w:val="20"/>
                <w:szCs w:val="16"/>
              </w:rPr>
            </w:pPr>
            <w:r w:rsidRPr="00DA2290">
              <w:rPr>
                <w:rFonts w:ascii="Verdana" w:hAnsi="Verdana"/>
                <w:sz w:val="20"/>
                <w:szCs w:val="16"/>
              </w:rPr>
              <w:t xml:space="preserve">The number of competent authorities that comply with the regulation. </w:t>
            </w:r>
          </w:p>
        </w:tc>
      </w:tr>
      <w:tr w:rsidR="006C3B31" w:rsidRPr="00DA2290" w:rsidTr="005501A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3B31" w:rsidRPr="00DA2290" w:rsidRDefault="0052376D" w:rsidP="00E9735E">
            <w:pPr>
              <w:jc w:val="both"/>
              <w:rPr>
                <w:rFonts w:ascii="Verdana" w:hAnsi="Verdana" w:cs="Calibri"/>
                <w:sz w:val="20"/>
                <w:szCs w:val="16"/>
              </w:rPr>
            </w:pPr>
            <w:r w:rsidRPr="00DA2290">
              <w:rPr>
                <w:rFonts w:ascii="Verdana" w:hAnsi="Verdana" w:cs="Arial"/>
                <w:sz w:val="20"/>
                <w:szCs w:val="16"/>
                <w:lang w:eastAsia="sk-SK"/>
              </w:rPr>
              <w:t>T</w:t>
            </w:r>
            <w:r w:rsidR="006C3B31" w:rsidRPr="00DA2290">
              <w:rPr>
                <w:rFonts w:ascii="Verdana" w:hAnsi="Verdana" w:cs="Arial"/>
                <w:sz w:val="20"/>
                <w:szCs w:val="16"/>
                <w:lang w:eastAsia="sk-SK"/>
              </w:rPr>
              <w:t>o create a centralised source of information at EU level on national provisions of prudential nature by providing uniform procedures, formats and templates to be used by competent authorities when transmitting and updating information to EIOPA</w:t>
            </w:r>
            <w:r w:rsidR="006C3B31" w:rsidRPr="00DA2290" w:rsidDel="005A031C">
              <w:rPr>
                <w:rFonts w:ascii="Verdana" w:hAnsi="Verdana" w:cs="Arial"/>
                <w:sz w:val="20"/>
                <w:szCs w:val="16"/>
                <w:lang w:eastAsia="sk-SK"/>
              </w:rPr>
              <w:t xml:space="preserve"> </w:t>
            </w:r>
          </w:p>
        </w:tc>
        <w:tc>
          <w:tcPr>
            <w:tcW w:w="4839" w:type="dxa"/>
            <w:tcBorders>
              <w:top w:val="nil"/>
              <w:left w:val="nil"/>
              <w:bottom w:val="single" w:sz="8" w:space="0" w:color="auto"/>
              <w:right w:val="single" w:sz="8" w:space="0" w:color="auto"/>
            </w:tcBorders>
            <w:tcMar>
              <w:top w:w="0" w:type="dxa"/>
              <w:left w:w="108" w:type="dxa"/>
              <w:bottom w:w="0" w:type="dxa"/>
              <w:right w:w="108" w:type="dxa"/>
            </w:tcMar>
            <w:vAlign w:val="center"/>
          </w:tcPr>
          <w:p w:rsidR="006C3B31" w:rsidRPr="00DA2290" w:rsidRDefault="006C3B31" w:rsidP="005501A2">
            <w:pPr>
              <w:rPr>
                <w:rFonts w:ascii="Verdana" w:hAnsi="Verdana"/>
                <w:sz w:val="20"/>
                <w:szCs w:val="16"/>
              </w:rPr>
            </w:pPr>
            <w:r w:rsidRPr="00DA2290">
              <w:rPr>
                <w:rFonts w:ascii="Verdana" w:hAnsi="Verdana"/>
                <w:sz w:val="20"/>
                <w:szCs w:val="16"/>
              </w:rPr>
              <w:t>Number of authorities that comply with the procedures consistently.</w:t>
            </w:r>
          </w:p>
          <w:p w:rsidR="006C3B31" w:rsidRPr="00DA2290" w:rsidRDefault="006C3B31" w:rsidP="005501A2">
            <w:pPr>
              <w:rPr>
                <w:rFonts w:ascii="Verdana" w:hAnsi="Verdana" w:cs="Calibri"/>
                <w:sz w:val="20"/>
                <w:szCs w:val="16"/>
              </w:rPr>
            </w:pPr>
          </w:p>
          <w:p w:rsidR="006C3B31" w:rsidRPr="00DA2290" w:rsidRDefault="006C3B31" w:rsidP="005501A2">
            <w:pPr>
              <w:rPr>
                <w:rFonts w:ascii="Verdana" w:hAnsi="Verdana"/>
                <w:sz w:val="20"/>
                <w:szCs w:val="16"/>
              </w:rPr>
            </w:pPr>
            <w:r w:rsidRPr="00DA2290">
              <w:rPr>
                <w:rFonts w:ascii="Verdana" w:hAnsi="Verdana"/>
                <w:sz w:val="20"/>
                <w:szCs w:val="16"/>
              </w:rPr>
              <w:t>Number of authorities that apply the formats consistently.</w:t>
            </w:r>
          </w:p>
          <w:p w:rsidR="006C3B31" w:rsidRPr="00DA2290" w:rsidRDefault="006C3B31" w:rsidP="005501A2">
            <w:pPr>
              <w:rPr>
                <w:rFonts w:ascii="Verdana" w:hAnsi="Verdana"/>
                <w:sz w:val="20"/>
                <w:szCs w:val="16"/>
              </w:rPr>
            </w:pPr>
          </w:p>
          <w:p w:rsidR="006C3B31" w:rsidRPr="00DA2290" w:rsidRDefault="006C3B31" w:rsidP="005501A2">
            <w:pPr>
              <w:rPr>
                <w:rFonts w:ascii="Verdana" w:hAnsi="Verdana" w:cs="Calibri"/>
                <w:sz w:val="20"/>
                <w:szCs w:val="16"/>
              </w:rPr>
            </w:pPr>
            <w:r w:rsidRPr="00DA2290">
              <w:rPr>
                <w:rFonts w:ascii="Verdana" w:hAnsi="Verdana"/>
                <w:sz w:val="20"/>
                <w:szCs w:val="16"/>
              </w:rPr>
              <w:t>Number of authorities that apply the templates consistently.</w:t>
            </w:r>
          </w:p>
        </w:tc>
      </w:tr>
    </w:tbl>
    <w:p w:rsidR="006C3B31" w:rsidRPr="00DA2290" w:rsidRDefault="006C3B31" w:rsidP="006C3B31"/>
    <w:p w:rsidR="00BD67D2" w:rsidRPr="00DA2290" w:rsidRDefault="00BD67D2" w:rsidP="0033440A">
      <w:pPr>
        <w:autoSpaceDE w:val="0"/>
        <w:autoSpaceDN w:val="0"/>
        <w:adjustRightInd w:val="0"/>
        <w:outlineLvl w:val="0"/>
        <w:rPr>
          <w:rFonts w:ascii="Verdana" w:hAnsi="Verdana"/>
          <w:sz w:val="22"/>
          <w:szCs w:val="22"/>
          <w:lang w:eastAsia="en-US"/>
        </w:rPr>
      </w:pPr>
    </w:p>
    <w:sectPr w:rsidR="00BD67D2" w:rsidRPr="00DA2290" w:rsidSect="0033440A">
      <w:footerReference w:type="even" r:id="rId78"/>
      <w:footerReference w:type="default" r:id="rId79"/>
      <w:pgSz w:w="11907" w:h="16839"/>
      <w:pgMar w:top="1134"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01" w:rsidRDefault="00921D01">
      <w:r>
        <w:separator/>
      </w:r>
    </w:p>
  </w:endnote>
  <w:endnote w:type="continuationSeparator" w:id="0">
    <w:p w:rsidR="00921D01" w:rsidRDefault="00921D01">
      <w:r>
        <w:continuationSeparator/>
      </w:r>
    </w:p>
  </w:endnote>
  <w:endnote w:type="continuationNotice" w:id="1">
    <w:p w:rsidR="00921D01" w:rsidRDefault="0092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Default="00921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D01" w:rsidRDefault="00921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Pr="003C6EBA" w:rsidRDefault="00921D01" w:rsidP="000C4A58">
    <w:pPr>
      <w:pStyle w:val="Footer"/>
      <w:ind w:right="360"/>
      <w:jc w:val="center"/>
      <w:rPr>
        <w:rStyle w:val="PageNumber"/>
        <w:rFonts w:ascii="Verdana" w:hAnsi="Verdana"/>
        <w:sz w:val="16"/>
        <w:szCs w:val="16"/>
      </w:rPr>
    </w:pPr>
    <w:r w:rsidRPr="003C6EBA">
      <w:rPr>
        <w:rStyle w:val="PageNumber"/>
        <w:rFonts w:ascii="Verdana" w:hAnsi="Verdana"/>
        <w:sz w:val="16"/>
        <w:szCs w:val="16"/>
      </w:rPr>
      <w:fldChar w:fldCharType="begin"/>
    </w:r>
    <w:r w:rsidRPr="003C6EBA">
      <w:rPr>
        <w:rStyle w:val="PageNumber"/>
        <w:rFonts w:ascii="Verdana" w:hAnsi="Verdana"/>
        <w:sz w:val="16"/>
        <w:szCs w:val="16"/>
      </w:rPr>
      <w:instrText xml:space="preserve"> PAGE </w:instrText>
    </w:r>
    <w:r w:rsidRPr="003C6EBA">
      <w:rPr>
        <w:rStyle w:val="PageNumber"/>
        <w:rFonts w:ascii="Verdana" w:hAnsi="Verdana"/>
        <w:sz w:val="16"/>
        <w:szCs w:val="16"/>
      </w:rPr>
      <w:fldChar w:fldCharType="separate"/>
    </w:r>
    <w:r w:rsidR="006C0047">
      <w:rPr>
        <w:rStyle w:val="PageNumber"/>
        <w:rFonts w:ascii="Verdana" w:hAnsi="Verdana"/>
        <w:noProof/>
        <w:sz w:val="16"/>
        <w:szCs w:val="16"/>
      </w:rPr>
      <w:t>2</w:t>
    </w:r>
    <w:r w:rsidRPr="003C6EBA">
      <w:rPr>
        <w:rStyle w:val="PageNumber"/>
        <w:rFonts w:ascii="Verdana" w:hAnsi="Verdana"/>
        <w:sz w:val="16"/>
        <w:szCs w:val="16"/>
      </w:rPr>
      <w:fldChar w:fldCharType="end"/>
    </w:r>
    <w:r w:rsidRPr="003C6EBA">
      <w:rPr>
        <w:rStyle w:val="PageNumber"/>
        <w:rFonts w:ascii="Verdana" w:hAnsi="Verdana"/>
        <w:sz w:val="16"/>
        <w:szCs w:val="16"/>
      </w:rPr>
      <w:t>/</w:t>
    </w:r>
    <w:r w:rsidRPr="003C6EBA">
      <w:rPr>
        <w:rStyle w:val="PageNumber"/>
        <w:rFonts w:ascii="Verdana" w:hAnsi="Verdana"/>
        <w:sz w:val="16"/>
        <w:szCs w:val="16"/>
      </w:rPr>
      <w:fldChar w:fldCharType="begin"/>
    </w:r>
    <w:r w:rsidRPr="003C6EBA">
      <w:rPr>
        <w:rStyle w:val="PageNumber"/>
        <w:rFonts w:ascii="Verdana" w:hAnsi="Verdana"/>
        <w:sz w:val="16"/>
        <w:szCs w:val="16"/>
      </w:rPr>
      <w:instrText xml:space="preserve"> NUMPAGES </w:instrText>
    </w:r>
    <w:r w:rsidRPr="003C6EBA">
      <w:rPr>
        <w:rStyle w:val="PageNumber"/>
        <w:rFonts w:ascii="Verdana" w:hAnsi="Verdana"/>
        <w:sz w:val="16"/>
        <w:szCs w:val="16"/>
      </w:rPr>
      <w:fldChar w:fldCharType="separate"/>
    </w:r>
    <w:r w:rsidR="006C0047">
      <w:rPr>
        <w:rStyle w:val="PageNumber"/>
        <w:rFonts w:ascii="Verdana" w:hAnsi="Verdana"/>
        <w:noProof/>
        <w:sz w:val="16"/>
        <w:szCs w:val="16"/>
      </w:rPr>
      <w:t>12</w:t>
    </w:r>
    <w:r w:rsidRPr="003C6EBA">
      <w:rPr>
        <w:rStyle w:val="PageNumber"/>
        <w:rFonts w:ascii="Verdana" w:hAnsi="Verdana"/>
        <w:sz w:val="16"/>
        <w:szCs w:val="16"/>
      </w:rPr>
      <w:fldChar w:fldCharType="end"/>
    </w:r>
  </w:p>
  <w:p w:rsidR="00921D01" w:rsidRPr="003C6EBA" w:rsidRDefault="00921D01" w:rsidP="000C4A58">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Pr>
        <w:rFonts w:ascii="Verdana" w:hAnsi="Verdana"/>
        <w:noProof/>
        <w:sz w:val="16"/>
        <w:szCs w:val="16"/>
      </w:rPr>
      <w:t>2013</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01" w:rsidRDefault="00921D01">
      <w:r>
        <w:separator/>
      </w:r>
    </w:p>
  </w:footnote>
  <w:footnote w:type="continuationSeparator" w:id="0">
    <w:p w:rsidR="00921D01" w:rsidRDefault="00921D01">
      <w:r>
        <w:continuationSeparator/>
      </w:r>
    </w:p>
  </w:footnote>
  <w:footnote w:type="continuationNotice" w:id="1">
    <w:p w:rsidR="00921D01" w:rsidRDefault="00921D01"/>
  </w:footnote>
  <w:footnote w:id="2">
    <w:p w:rsidR="00921D01" w:rsidRPr="00183C98" w:rsidRDefault="00921D01" w:rsidP="006C3B31">
      <w:pPr>
        <w:pStyle w:val="FootnoteText"/>
        <w:rPr>
          <w:rFonts w:ascii="Verdana" w:hAnsi="Verdana"/>
          <w:sz w:val="16"/>
          <w:szCs w:val="16"/>
        </w:rPr>
      </w:pPr>
      <w:r w:rsidRPr="00183C98">
        <w:rPr>
          <w:rStyle w:val="FootnoteReference"/>
          <w:rFonts w:ascii="Verdana" w:hAnsi="Verdana"/>
          <w:sz w:val="16"/>
          <w:szCs w:val="16"/>
        </w:rPr>
        <w:footnoteRef/>
      </w:r>
      <w:r w:rsidRPr="00183C98">
        <w:rPr>
          <w:rFonts w:ascii="Verdana" w:hAnsi="Verdana"/>
          <w:sz w:val="16"/>
          <w:szCs w:val="16"/>
        </w:rPr>
        <w:t xml:space="preserve"> </w:t>
      </w:r>
      <w:r w:rsidRPr="00183C98">
        <w:rPr>
          <w:rFonts w:ascii="Verdana" w:hAnsi="Verdana"/>
          <w:sz w:val="16"/>
          <w:szCs w:val="16"/>
          <w:lang w:val="en-US"/>
        </w:rPr>
        <w:t>Recital 40 of the IORP Directive.</w:t>
      </w:r>
    </w:p>
  </w:footnote>
  <w:footnote w:id="3">
    <w:p w:rsidR="00921D01" w:rsidRPr="00906FA9" w:rsidRDefault="00921D01" w:rsidP="00906FA9">
      <w:pPr>
        <w:pStyle w:val="FootnoteText"/>
        <w:jc w:val="both"/>
        <w:rPr>
          <w:rFonts w:ascii="Verdana" w:hAnsi="Verdana"/>
          <w:sz w:val="16"/>
          <w:szCs w:val="16"/>
          <w:lang w:val="en-US"/>
        </w:rPr>
      </w:pPr>
      <w:r w:rsidRPr="00906FA9">
        <w:rPr>
          <w:rStyle w:val="FootnoteReference"/>
          <w:rFonts w:ascii="Verdana" w:hAnsi="Verdana"/>
          <w:sz w:val="16"/>
          <w:szCs w:val="16"/>
        </w:rPr>
        <w:footnoteRef/>
      </w:r>
      <w:r w:rsidRPr="00906FA9">
        <w:rPr>
          <w:rFonts w:ascii="Verdana" w:hAnsi="Verdana"/>
          <w:sz w:val="16"/>
          <w:szCs w:val="16"/>
        </w:rPr>
        <w:t xml:space="preserve"> It should be noted that this figure includes a large number of small IORPs with fewer than 100 members.</w:t>
      </w:r>
    </w:p>
  </w:footnote>
  <w:footnote w:id="4">
    <w:p w:rsidR="00921D01" w:rsidRPr="00FA6BBE" w:rsidRDefault="00921D01" w:rsidP="008C42D4">
      <w:pPr>
        <w:pStyle w:val="FootnoteText"/>
        <w:rPr>
          <w:rFonts w:ascii="Verdana" w:hAnsi="Verdana"/>
          <w:sz w:val="16"/>
          <w:lang w:val="fr-FR"/>
        </w:rPr>
      </w:pPr>
      <w:r w:rsidRPr="00906FA9">
        <w:rPr>
          <w:rStyle w:val="FootnoteReference"/>
          <w:rFonts w:ascii="Verdana" w:hAnsi="Verdana"/>
          <w:sz w:val="16"/>
          <w:szCs w:val="16"/>
        </w:rPr>
        <w:footnoteRef/>
      </w:r>
      <w:r w:rsidRPr="00906FA9">
        <w:rPr>
          <w:rFonts w:ascii="Verdana" w:hAnsi="Verdana"/>
          <w:sz w:val="16"/>
          <w:szCs w:val="16"/>
        </w:rPr>
        <w:t xml:space="preserve"> </w:t>
      </w:r>
      <w:r w:rsidRPr="00906FA9">
        <w:rPr>
          <w:rFonts w:ascii="Verdana" w:hAnsi="Verdana"/>
          <w:sz w:val="16"/>
          <w:szCs w:val="16"/>
          <w:lang w:val="en-US"/>
        </w:rPr>
        <w:t>Call for advice from the European Insurance and Occupational Pensions Authority (EIOPA) for the review of Directive 2003/41/EC (IORP II), page 3.</w:t>
      </w:r>
      <w:r w:rsidRPr="00906FA9">
        <w:rPr>
          <w:rFonts w:ascii="Verdana" w:hAnsi="Verdana"/>
          <w:sz w:val="16"/>
          <w:szCs w:val="16"/>
        </w:rPr>
        <w:t xml:space="preserve"> </w:t>
      </w:r>
      <w:r w:rsidRPr="00FA6BBE">
        <w:rPr>
          <w:rFonts w:ascii="Verdana" w:hAnsi="Verdana"/>
          <w:sz w:val="16"/>
          <w:lang w:val="fr-FR"/>
        </w:rPr>
        <w:t>Available</w:t>
      </w:r>
      <w:r w:rsidRPr="0085532C">
        <w:rPr>
          <w:rFonts w:ascii="Verdana" w:hAnsi="Verdana"/>
          <w:sz w:val="16"/>
        </w:rPr>
        <w:t xml:space="preserve"> </w:t>
      </w:r>
      <w:r w:rsidRPr="00FA6BBE">
        <w:rPr>
          <w:rFonts w:ascii="Verdana" w:hAnsi="Verdana"/>
          <w:sz w:val="16"/>
          <w:lang w:val="fr-FR"/>
        </w:rPr>
        <w:t>at:</w:t>
      </w:r>
      <w:hyperlink r:id="rId1" w:history="1">
        <w:r w:rsidRPr="00FA6BBE">
          <w:rPr>
            <w:rStyle w:val="Hyperlink"/>
            <w:rFonts w:ascii="Verdana" w:hAnsi="Verdana"/>
            <w:sz w:val="16"/>
            <w:lang w:val="fr-FR"/>
          </w:rPr>
          <w:t>http://ec.europa.eu/internal_market/pensions/docs/calls/042011_call_en.pdf</w:t>
        </w:r>
      </w:hyperlink>
    </w:p>
  </w:footnote>
  <w:footnote w:id="5">
    <w:p w:rsidR="00921D01" w:rsidRPr="00906FA9" w:rsidRDefault="00921D01" w:rsidP="00906FA9">
      <w:pPr>
        <w:pStyle w:val="FootnoteText"/>
        <w:jc w:val="both"/>
        <w:rPr>
          <w:rFonts w:ascii="Verdana" w:hAnsi="Verdana"/>
          <w:sz w:val="16"/>
          <w:szCs w:val="16"/>
        </w:rPr>
      </w:pPr>
      <w:r w:rsidRPr="00906FA9">
        <w:rPr>
          <w:rStyle w:val="FootnoteReference"/>
          <w:rFonts w:ascii="Verdana" w:hAnsi="Verdana"/>
          <w:sz w:val="16"/>
          <w:szCs w:val="16"/>
        </w:rPr>
        <w:footnoteRef/>
      </w:r>
      <w:r w:rsidRPr="00906FA9">
        <w:rPr>
          <w:rFonts w:ascii="Verdana" w:hAnsi="Verdana"/>
          <w:sz w:val="16"/>
          <w:szCs w:val="16"/>
        </w:rPr>
        <w:t xml:space="preserve"> 2013 Report on Market Developments</w:t>
      </w:r>
      <w:r>
        <w:rPr>
          <w:rFonts w:ascii="Verdana" w:hAnsi="Verdana"/>
          <w:sz w:val="16"/>
          <w:szCs w:val="16"/>
        </w:rPr>
        <w:t xml:space="preserve"> in cross-</w:t>
      </w:r>
      <w:r w:rsidRPr="008C42D4">
        <w:rPr>
          <w:rFonts w:ascii="Verdana" w:hAnsi="Verdana"/>
          <w:sz w:val="16"/>
          <w:szCs w:val="16"/>
        </w:rPr>
        <w:t>border IORPs</w:t>
      </w:r>
      <w:r w:rsidRPr="00906FA9">
        <w:rPr>
          <w:rFonts w:ascii="Verdana" w:hAnsi="Verdana"/>
          <w:sz w:val="16"/>
          <w:szCs w:val="16"/>
        </w:rPr>
        <w:t>, EIOPA</w:t>
      </w:r>
      <w:r>
        <w:rPr>
          <w:rFonts w:ascii="Verdana" w:hAnsi="Verdana"/>
          <w:sz w:val="16"/>
          <w:szCs w:val="16"/>
        </w:rPr>
        <w:t>-</w:t>
      </w:r>
      <w:r w:rsidRPr="00906FA9">
        <w:rPr>
          <w:rFonts w:ascii="Verdana" w:hAnsi="Verdana"/>
          <w:sz w:val="16"/>
          <w:szCs w:val="16"/>
        </w:rPr>
        <w:t>BoS</w:t>
      </w:r>
      <w:r>
        <w:rPr>
          <w:rFonts w:ascii="Verdana" w:hAnsi="Verdana"/>
          <w:sz w:val="16"/>
          <w:szCs w:val="16"/>
        </w:rPr>
        <w:t>-</w:t>
      </w:r>
      <w:r w:rsidRPr="00906FA9">
        <w:rPr>
          <w:rFonts w:ascii="Verdana" w:hAnsi="Verdana"/>
          <w:sz w:val="16"/>
          <w:szCs w:val="16"/>
        </w:rPr>
        <w:t>13</w:t>
      </w:r>
      <w:r>
        <w:rPr>
          <w:rFonts w:ascii="Verdana" w:hAnsi="Verdana"/>
          <w:sz w:val="16"/>
          <w:szCs w:val="16"/>
        </w:rPr>
        <w:t>-</w:t>
      </w:r>
      <w:r w:rsidRPr="00906FA9">
        <w:rPr>
          <w:rFonts w:ascii="Verdana" w:hAnsi="Verdana"/>
          <w:sz w:val="16"/>
          <w:szCs w:val="16"/>
        </w:rPr>
        <w:t>134</w:t>
      </w:r>
      <w:r>
        <w:rPr>
          <w:rFonts w:ascii="Verdana" w:hAnsi="Verdana"/>
          <w:sz w:val="16"/>
          <w:szCs w:val="16"/>
        </w:rPr>
        <w:t>,</w:t>
      </w:r>
      <w:r w:rsidRPr="00906FA9">
        <w:rPr>
          <w:rFonts w:ascii="Verdana" w:hAnsi="Verdana"/>
          <w:sz w:val="16"/>
          <w:szCs w:val="16"/>
        </w:rPr>
        <w:t xml:space="preserve"> available at: </w:t>
      </w:r>
    </w:p>
    <w:p w:rsidR="00921D01" w:rsidRPr="00906FA9" w:rsidRDefault="006C0047" w:rsidP="00906FA9">
      <w:pPr>
        <w:pStyle w:val="FootnoteText"/>
        <w:jc w:val="both"/>
        <w:rPr>
          <w:rFonts w:ascii="Verdana" w:hAnsi="Verdana"/>
          <w:sz w:val="16"/>
          <w:szCs w:val="16"/>
        </w:rPr>
      </w:pPr>
      <w:hyperlink r:id="rId2" w:history="1">
        <w:r w:rsidR="00921D01" w:rsidRPr="00906FA9">
          <w:rPr>
            <w:rStyle w:val="Hyperlink"/>
            <w:rFonts w:ascii="Verdana" w:hAnsi="Verdana"/>
            <w:sz w:val="16"/>
            <w:szCs w:val="16"/>
          </w:rPr>
          <w:t>https://eiopa.europa.eu/fileadmin/tx_dam/files/publications/reports/2013_Report_on_market_developments_in_cross-border_IORPs.pdf</w:t>
        </w:r>
      </w:hyperlink>
    </w:p>
  </w:footnote>
  <w:footnote w:id="6">
    <w:p w:rsidR="00921D01" w:rsidRPr="00906FA9" w:rsidRDefault="00921D01" w:rsidP="00906FA9">
      <w:pPr>
        <w:pStyle w:val="FootnoteText"/>
        <w:jc w:val="both"/>
        <w:rPr>
          <w:rFonts w:ascii="Verdana" w:hAnsi="Verdana"/>
          <w:sz w:val="16"/>
          <w:szCs w:val="16"/>
        </w:rPr>
      </w:pPr>
      <w:r w:rsidRPr="00906FA9">
        <w:rPr>
          <w:rStyle w:val="FootnoteReference"/>
          <w:rFonts w:ascii="Verdana" w:hAnsi="Verdana"/>
          <w:sz w:val="16"/>
          <w:szCs w:val="16"/>
        </w:rPr>
        <w:footnoteRef/>
      </w:r>
      <w:r w:rsidRPr="00906FA9">
        <w:rPr>
          <w:rFonts w:ascii="Verdana" w:hAnsi="Verdana"/>
          <w:sz w:val="16"/>
          <w:szCs w:val="16"/>
        </w:rPr>
        <w:t xml:space="preserve"> Consultation Papers and Reasoned feedback available at: </w:t>
      </w:r>
      <w:hyperlink r:id="rId3" w:history="1">
        <w:r w:rsidRPr="00906FA9">
          <w:rPr>
            <w:rStyle w:val="Hyperlink"/>
            <w:rFonts w:ascii="Verdana" w:hAnsi="Verdana"/>
            <w:sz w:val="16"/>
            <w:szCs w:val="16"/>
          </w:rPr>
          <w:t>https://eiopa.europa.eu/consultations/consultation-papers/2011-closed-consultations/index.html</w:t>
        </w:r>
      </w:hyperlink>
      <w:r w:rsidRPr="00906FA9">
        <w:rPr>
          <w:rFonts w:ascii="Verdana" w:hAnsi="Verdana"/>
          <w:sz w:val="16"/>
          <w:szCs w:val="16"/>
        </w:rPr>
        <w:t xml:space="preserve"> and </w:t>
      </w:r>
      <w:hyperlink r:id="rId4" w:history="1">
        <w:r w:rsidRPr="00906FA9">
          <w:rPr>
            <w:rStyle w:val="Hyperlink"/>
            <w:rFonts w:ascii="Verdana" w:hAnsi="Verdana"/>
            <w:sz w:val="16"/>
            <w:szCs w:val="16"/>
          </w:rPr>
          <w:t>https://eiopa.europa.eu/publications/submissions-to-the-ec/index.html</w:t>
        </w:r>
      </w:hyperlink>
    </w:p>
    <w:p w:rsidR="00921D01" w:rsidRPr="00183C98" w:rsidRDefault="00921D01">
      <w:pPr>
        <w:pStyle w:val="FootnoteText"/>
        <w:rPr>
          <w:rFonts w:ascii="Verdana" w:hAnsi="Verdana"/>
        </w:rPr>
      </w:pPr>
    </w:p>
  </w:footnote>
  <w:footnote w:id="7">
    <w:p w:rsidR="00921D01" w:rsidRPr="00183C98" w:rsidRDefault="00921D01" w:rsidP="00A740AC">
      <w:pPr>
        <w:pStyle w:val="FootnoteText"/>
        <w:rPr>
          <w:rFonts w:ascii="Verdana" w:hAnsi="Verdana"/>
          <w:sz w:val="16"/>
          <w:szCs w:val="16"/>
        </w:rPr>
      </w:pPr>
      <w:r w:rsidRPr="00183C98">
        <w:rPr>
          <w:rStyle w:val="FootnoteReference"/>
          <w:rFonts w:ascii="Verdana" w:hAnsi="Verdana"/>
          <w:sz w:val="16"/>
          <w:szCs w:val="16"/>
        </w:rPr>
        <w:footnoteRef/>
      </w:r>
      <w:r w:rsidRPr="00183C98">
        <w:rPr>
          <w:rFonts w:ascii="Verdana" w:hAnsi="Verdana"/>
          <w:sz w:val="16"/>
          <w:szCs w:val="16"/>
        </w:rPr>
        <w:t xml:space="preserve"> Social and labour law relevant to the field of occupational pensions. Available at: </w:t>
      </w:r>
      <w:hyperlink r:id="rId5" w:history="1">
        <w:r w:rsidRPr="00183C98">
          <w:rPr>
            <w:rStyle w:val="Hyperlink"/>
            <w:rFonts w:ascii="Verdana" w:hAnsi="Verdana"/>
            <w:sz w:val="16"/>
            <w:szCs w:val="16"/>
          </w:rPr>
          <w:t>https://eiopa.europa.eu/en/fixed-width/disclosure/occupational-pensions/links/index.html</w:t>
        </w:r>
      </w:hyperlink>
    </w:p>
  </w:footnote>
  <w:footnote w:id="8">
    <w:p w:rsidR="00921D01" w:rsidRPr="00183C98" w:rsidRDefault="00921D01" w:rsidP="00DE487E">
      <w:pPr>
        <w:pStyle w:val="NoSpacing"/>
        <w:jc w:val="both"/>
        <w:rPr>
          <w:rFonts w:ascii="Verdana" w:hAnsi="Verdana"/>
          <w:sz w:val="16"/>
          <w:szCs w:val="16"/>
        </w:rPr>
      </w:pPr>
      <w:r w:rsidRPr="00906912">
        <w:rPr>
          <w:rStyle w:val="FootnoteReference"/>
          <w:rFonts w:ascii="Verdana" w:hAnsi="Verdana"/>
          <w:sz w:val="16"/>
          <w:szCs w:val="16"/>
        </w:rPr>
        <w:footnoteRef/>
      </w:r>
      <w:r w:rsidRPr="00906912">
        <w:rPr>
          <w:rFonts w:ascii="Verdana" w:hAnsi="Verdana"/>
          <w:sz w:val="16"/>
          <w:szCs w:val="16"/>
        </w:rPr>
        <w:t xml:space="preserve"> See </w:t>
      </w:r>
      <w:r w:rsidRPr="00906912">
        <w:rPr>
          <w:rFonts w:ascii="Verdana" w:hAnsi="Verdana"/>
          <w:sz w:val="16"/>
          <w:szCs w:val="16"/>
          <w:lang w:val="en-US"/>
        </w:rPr>
        <w:t>Article 15 of the EIOPA Regulation regarding Implementing technical standards.</w:t>
      </w:r>
    </w:p>
  </w:footnote>
  <w:footnote w:id="9">
    <w:p w:rsidR="00921D01" w:rsidRPr="0067059D" w:rsidRDefault="00921D01" w:rsidP="00DF795E">
      <w:pPr>
        <w:pStyle w:val="FootnoteText"/>
        <w:rPr>
          <w:rFonts w:ascii="Verdana" w:hAnsi="Verdana"/>
          <w:sz w:val="16"/>
          <w:szCs w:val="16"/>
        </w:rPr>
      </w:pPr>
      <w:r w:rsidRPr="0067059D">
        <w:rPr>
          <w:rStyle w:val="FootnoteReference"/>
          <w:rFonts w:ascii="Verdana" w:hAnsi="Verdana"/>
          <w:sz w:val="16"/>
          <w:szCs w:val="16"/>
        </w:rPr>
        <w:footnoteRef/>
      </w:r>
      <w:r w:rsidRPr="0067059D">
        <w:rPr>
          <w:rFonts w:ascii="Verdana" w:hAnsi="Verdana"/>
          <w:sz w:val="16"/>
          <w:szCs w:val="16"/>
        </w:rPr>
        <w:t xml:space="preserve"> Low, medium, high. </w:t>
      </w:r>
    </w:p>
  </w:footnote>
  <w:footnote w:id="10">
    <w:p w:rsidR="00921D01" w:rsidRDefault="00921D01" w:rsidP="00DF795E">
      <w:pPr>
        <w:pStyle w:val="FootnoteText"/>
      </w:pPr>
      <w:r w:rsidRPr="0067059D">
        <w:rPr>
          <w:rStyle w:val="FootnoteReference"/>
          <w:rFonts w:ascii="Verdana" w:hAnsi="Verdana"/>
          <w:sz w:val="16"/>
          <w:szCs w:val="16"/>
        </w:rPr>
        <w:footnoteRef/>
      </w:r>
      <w:r w:rsidRPr="0067059D">
        <w:rPr>
          <w:rFonts w:ascii="Verdana" w:hAnsi="Verdana"/>
          <w:sz w:val="16"/>
          <w:szCs w:val="16"/>
        </w:rPr>
        <w:t xml:space="preserve"> Short-term, long-term, permanent.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CB3"/>
    <w:multiLevelType w:val="hybridMultilevel"/>
    <w:tmpl w:val="971CB534"/>
    <w:lvl w:ilvl="0" w:tplc="A3D24B5E">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563637A"/>
    <w:multiLevelType w:val="hybridMultilevel"/>
    <w:tmpl w:val="2050FECC"/>
    <w:lvl w:ilvl="0" w:tplc="7596996C">
      <w:start w:val="1"/>
      <w:numFmt w:val="decimal"/>
      <w:lvlText w:val="3.%1."/>
      <w:lvlJc w:val="left"/>
      <w:pPr>
        <w:tabs>
          <w:tab w:val="num" w:pos="720"/>
        </w:tabs>
        <w:ind w:left="720" w:hanging="360"/>
      </w:pPr>
      <w:rPr>
        <w:rFonts w:hint="default"/>
        <w:b w:val="0"/>
      </w:rPr>
    </w:lvl>
    <w:lvl w:ilvl="1" w:tplc="0407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142AF0"/>
    <w:multiLevelType w:val="multilevel"/>
    <w:tmpl w:val="AF98EE6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AE5CED"/>
    <w:multiLevelType w:val="hybridMultilevel"/>
    <w:tmpl w:val="8B908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AA1131"/>
    <w:multiLevelType w:val="hybridMultilevel"/>
    <w:tmpl w:val="7DC2FE60"/>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10F2513B"/>
    <w:multiLevelType w:val="hybridMultilevel"/>
    <w:tmpl w:val="10447840"/>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47D7"/>
    <w:multiLevelType w:val="hybridMultilevel"/>
    <w:tmpl w:val="2C8089E4"/>
    <w:lvl w:ilvl="0" w:tplc="0809000F">
      <w:start w:val="1"/>
      <w:numFmt w:val="decimal"/>
      <w:lvlText w:val="%1."/>
      <w:lvlJc w:val="left"/>
      <w:pPr>
        <w:tabs>
          <w:tab w:val="num" w:pos="360"/>
        </w:tabs>
        <w:ind w:left="360" w:hanging="360"/>
      </w:pPr>
      <w:rPr>
        <w:rFonts w:hint="default"/>
      </w:rPr>
    </w:lvl>
    <w:lvl w:ilvl="1" w:tplc="A18CEF74">
      <w:start w:val="1"/>
      <w:numFmt w:val="decimal"/>
      <w:lvlText w:val="%2."/>
      <w:lvlJc w:val="left"/>
      <w:pPr>
        <w:tabs>
          <w:tab w:val="num" w:pos="1260"/>
        </w:tabs>
        <w:ind w:left="1260" w:hanging="360"/>
      </w:pPr>
      <w:rPr>
        <w:rFonts w:hint="default"/>
        <w:b w:val="0"/>
      </w:rPr>
    </w:lvl>
    <w:lvl w:ilvl="2" w:tplc="08090001">
      <w:start w:val="1"/>
      <w:numFmt w:val="bullet"/>
      <w:lvlText w:val=""/>
      <w:lvlJc w:val="left"/>
      <w:pPr>
        <w:tabs>
          <w:tab w:val="num" w:pos="1206"/>
        </w:tabs>
        <w:ind w:left="1206" w:hanging="360"/>
      </w:pPr>
      <w:rPr>
        <w:rFonts w:ascii="Symbol" w:hAnsi="Symbol" w:hint="default"/>
      </w:rPr>
    </w:lvl>
    <w:lvl w:ilvl="3" w:tplc="0809000F">
      <w:start w:val="1"/>
      <w:numFmt w:val="decimal"/>
      <w:lvlText w:val="%4."/>
      <w:lvlJc w:val="left"/>
      <w:pPr>
        <w:tabs>
          <w:tab w:val="num" w:pos="1800"/>
        </w:tabs>
        <w:ind w:left="1800" w:hanging="360"/>
      </w:pPr>
      <w:rPr>
        <w:rFonts w:hint="default"/>
      </w:rPr>
    </w:lvl>
    <w:lvl w:ilvl="4" w:tplc="FE0A80BE">
      <w:start w:val="4"/>
      <w:numFmt w:val="lowerLetter"/>
      <w:lvlText w:val="(%5)"/>
      <w:lvlJc w:val="left"/>
      <w:pPr>
        <w:tabs>
          <w:tab w:val="num" w:pos="2826"/>
        </w:tabs>
        <w:ind w:left="2826" w:hanging="720"/>
      </w:pPr>
      <w:rPr>
        <w:rFonts w:hint="default"/>
      </w:rPr>
    </w:lvl>
    <w:lvl w:ilvl="5" w:tplc="66FC2E88">
      <w:start w:val="2"/>
      <w:numFmt w:val="decimal"/>
      <w:lvlText w:val="(%6)"/>
      <w:lvlJc w:val="left"/>
      <w:pPr>
        <w:tabs>
          <w:tab w:val="num" w:pos="3726"/>
        </w:tabs>
        <w:ind w:left="3726" w:hanging="720"/>
      </w:pPr>
      <w:rPr>
        <w:rFonts w:hint="default"/>
      </w:r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abstractNum w:abstractNumId="7">
    <w:nsid w:val="173B5A10"/>
    <w:multiLevelType w:val="hybridMultilevel"/>
    <w:tmpl w:val="DF42878C"/>
    <w:lvl w:ilvl="0" w:tplc="8BEC8216">
      <w:start w:val="1"/>
      <w:numFmt w:val="decimal"/>
      <w:lvlText w:val="%1."/>
      <w:lvlJc w:val="left"/>
      <w:pPr>
        <w:ind w:left="0" w:hanging="360"/>
      </w:pPr>
      <w:rPr>
        <w:rFonts w:cs="Times New Roman"/>
        <w:b w:val="0"/>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8">
    <w:nsid w:val="185228D2"/>
    <w:multiLevelType w:val="hybridMultilevel"/>
    <w:tmpl w:val="FADC4BCC"/>
    <w:lvl w:ilvl="0" w:tplc="61C6471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52E2A"/>
    <w:multiLevelType w:val="hybridMultilevel"/>
    <w:tmpl w:val="830E2820"/>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1C4B72"/>
    <w:multiLevelType w:val="hybridMultilevel"/>
    <w:tmpl w:val="A60A6898"/>
    <w:lvl w:ilvl="0" w:tplc="2B1C4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90255D"/>
    <w:multiLevelType w:val="hybridMultilevel"/>
    <w:tmpl w:val="EE78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85D13"/>
    <w:multiLevelType w:val="hybridMultilevel"/>
    <w:tmpl w:val="E8709982"/>
    <w:lvl w:ilvl="0" w:tplc="590EFE46">
      <w:start w:val="1"/>
      <w:numFmt w:val="bullet"/>
      <w:lvlText w:val=""/>
      <w:lvlJc w:val="left"/>
      <w:pPr>
        <w:tabs>
          <w:tab w:val="num" w:pos="1741"/>
        </w:tabs>
        <w:ind w:left="1741" w:hanging="360"/>
      </w:pPr>
      <w:rPr>
        <w:rFonts w:ascii="Symbol" w:hAnsi="Symbol" w:hint="default"/>
        <w:color w:val="auto"/>
      </w:rPr>
    </w:lvl>
    <w:lvl w:ilvl="1" w:tplc="04070003">
      <w:start w:val="1"/>
      <w:numFmt w:val="bullet"/>
      <w:lvlText w:val="o"/>
      <w:lvlJc w:val="left"/>
      <w:pPr>
        <w:tabs>
          <w:tab w:val="num" w:pos="2461"/>
        </w:tabs>
        <w:ind w:left="2461" w:hanging="360"/>
      </w:pPr>
      <w:rPr>
        <w:rFonts w:ascii="Courier New" w:hAnsi="Courier New" w:cs="Courier New" w:hint="default"/>
        <w:color w:val="auto"/>
      </w:rPr>
    </w:lvl>
    <w:lvl w:ilvl="2" w:tplc="F95A8D9A">
      <w:start w:val="1"/>
      <w:numFmt w:val="bullet"/>
      <w:lvlText w:val=""/>
      <w:lvlJc w:val="left"/>
      <w:pPr>
        <w:tabs>
          <w:tab w:val="num" w:pos="3361"/>
        </w:tabs>
        <w:ind w:left="3361" w:hanging="360"/>
      </w:pPr>
      <w:rPr>
        <w:rFonts w:ascii="Symbol" w:hAnsi="Symbol" w:hint="default"/>
        <w:color w:val="auto"/>
      </w:r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13">
    <w:nsid w:val="20592467"/>
    <w:multiLevelType w:val="hybridMultilevel"/>
    <w:tmpl w:val="9B1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036BA"/>
    <w:multiLevelType w:val="hybridMultilevel"/>
    <w:tmpl w:val="AF98EE6E"/>
    <w:lvl w:ilvl="0" w:tplc="DE0055B6">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9F43157"/>
    <w:multiLevelType w:val="hybridMultilevel"/>
    <w:tmpl w:val="1C86C9C8"/>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D37D5"/>
    <w:multiLevelType w:val="hybridMultilevel"/>
    <w:tmpl w:val="4BD21FC8"/>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783264"/>
    <w:multiLevelType w:val="hybridMultilevel"/>
    <w:tmpl w:val="B150C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1244C7"/>
    <w:multiLevelType w:val="hybridMultilevel"/>
    <w:tmpl w:val="976EE012"/>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43242C"/>
    <w:multiLevelType w:val="multilevel"/>
    <w:tmpl w:val="2ABCB964"/>
    <w:lvl w:ilvl="0">
      <w:start w:val="10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240786"/>
    <w:multiLevelType w:val="multilevel"/>
    <w:tmpl w:val="8CAE94C6"/>
    <w:lvl w:ilvl="0">
      <w:start w:val="1"/>
      <w:numFmt w:val="decimal"/>
      <w:lvlText w:val="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C9430C"/>
    <w:multiLevelType w:val="multilevel"/>
    <w:tmpl w:val="9412DA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44EEB"/>
    <w:multiLevelType w:val="hybridMultilevel"/>
    <w:tmpl w:val="C2861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8E4706"/>
    <w:multiLevelType w:val="hybridMultilevel"/>
    <w:tmpl w:val="E32A597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40C5C"/>
    <w:multiLevelType w:val="hybridMultilevel"/>
    <w:tmpl w:val="D05E484C"/>
    <w:lvl w:ilvl="0" w:tplc="BF406C2C">
      <w:start w:val="1"/>
      <w:numFmt w:val="decimal"/>
      <w:lvlText w:val="3.%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A14019"/>
    <w:multiLevelType w:val="hybridMultilevel"/>
    <w:tmpl w:val="9FBC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35CB9"/>
    <w:multiLevelType w:val="hybridMultilevel"/>
    <w:tmpl w:val="E9CCE06A"/>
    <w:lvl w:ilvl="0" w:tplc="58DEA83E">
      <w:start w:val="1"/>
      <w:numFmt w:val="decimal"/>
      <w:lvlText w:val="2.%1."/>
      <w:lvlJc w:val="left"/>
      <w:pPr>
        <w:tabs>
          <w:tab w:val="num" w:pos="1741"/>
        </w:tabs>
        <w:ind w:left="174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5615415"/>
    <w:multiLevelType w:val="hybridMultilevel"/>
    <w:tmpl w:val="FA1C94D2"/>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165E34"/>
    <w:multiLevelType w:val="hybridMultilevel"/>
    <w:tmpl w:val="7CCAE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7E2AD4"/>
    <w:multiLevelType w:val="hybridMultilevel"/>
    <w:tmpl w:val="A378E1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A8C1141"/>
    <w:multiLevelType w:val="hybridMultilevel"/>
    <w:tmpl w:val="CCA08F10"/>
    <w:lvl w:ilvl="0" w:tplc="ACD88A8A">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AB713EB"/>
    <w:multiLevelType w:val="hybridMultilevel"/>
    <w:tmpl w:val="8F5C2532"/>
    <w:lvl w:ilvl="0" w:tplc="6EAC606A">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B5E1128"/>
    <w:multiLevelType w:val="hybridMultilevel"/>
    <w:tmpl w:val="D4507D5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nsid w:val="4B676122"/>
    <w:multiLevelType w:val="hybridMultilevel"/>
    <w:tmpl w:val="6B9CE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BAF47D3"/>
    <w:multiLevelType w:val="multilevel"/>
    <w:tmpl w:val="F36AD60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4D8F271C"/>
    <w:multiLevelType w:val="hybridMultilevel"/>
    <w:tmpl w:val="EB129894"/>
    <w:lvl w:ilvl="0" w:tplc="A560F980">
      <w:start w:val="1"/>
      <w:numFmt w:val="decimal"/>
      <w:lvlText w:val="%1."/>
      <w:lvlJc w:val="left"/>
      <w:pPr>
        <w:ind w:left="720" w:hanging="360"/>
      </w:pPr>
      <w:rPr>
        <w:rFonts w:ascii="Verdana" w:hAnsi="Verdana" w:cs="Times New Roman" w:hint="default"/>
        <w:b w:val="0"/>
        <w:i w:val="0"/>
        <w:strike w:val="0"/>
        <w:sz w:val="22"/>
        <w:szCs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7657BCA"/>
    <w:multiLevelType w:val="singleLevel"/>
    <w:tmpl w:val="4BF4472C"/>
    <w:lvl w:ilvl="0">
      <w:start w:val="1"/>
      <w:numFmt w:val="decimal"/>
      <w:lvlRestart w:val="0"/>
      <w:lvlText w:val="(%1)"/>
      <w:lvlJc w:val="left"/>
      <w:pPr>
        <w:tabs>
          <w:tab w:val="num" w:pos="709"/>
        </w:tabs>
        <w:ind w:left="709" w:hanging="709"/>
      </w:pPr>
      <w:rPr>
        <w:rFonts w:cs="Times New Roman"/>
        <w:i w:val="0"/>
      </w:rPr>
    </w:lvl>
  </w:abstractNum>
  <w:abstractNum w:abstractNumId="37">
    <w:nsid w:val="58807F1A"/>
    <w:multiLevelType w:val="hybridMultilevel"/>
    <w:tmpl w:val="D0200650"/>
    <w:lvl w:ilvl="0" w:tplc="590EFE46">
      <w:start w:val="1"/>
      <w:numFmt w:val="bullet"/>
      <w:lvlText w:val=""/>
      <w:lvlJc w:val="left"/>
      <w:pPr>
        <w:tabs>
          <w:tab w:val="num" w:pos="1741"/>
        </w:tabs>
        <w:ind w:left="1741" w:hanging="360"/>
      </w:pPr>
      <w:rPr>
        <w:rFonts w:ascii="Symbol" w:hAnsi="Symbol" w:hint="default"/>
        <w:color w:val="auto"/>
      </w:rPr>
    </w:lvl>
    <w:lvl w:ilvl="1" w:tplc="08090019">
      <w:start w:val="1"/>
      <w:numFmt w:val="lowerLetter"/>
      <w:lvlText w:val="%2."/>
      <w:lvlJc w:val="left"/>
      <w:pPr>
        <w:tabs>
          <w:tab w:val="num" w:pos="2461"/>
        </w:tabs>
        <w:ind w:left="2461" w:hanging="360"/>
      </w:pPr>
    </w:lvl>
    <w:lvl w:ilvl="2" w:tplc="0809001B" w:tentative="1">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38">
    <w:nsid w:val="5ADB5901"/>
    <w:multiLevelType w:val="hybridMultilevel"/>
    <w:tmpl w:val="7D7C9F1E"/>
    <w:lvl w:ilvl="0" w:tplc="08090001">
      <w:start w:val="1"/>
      <w:numFmt w:val="bullet"/>
      <w:lvlText w:val=""/>
      <w:lvlJc w:val="left"/>
      <w:pPr>
        <w:tabs>
          <w:tab w:val="num" w:pos="1381"/>
        </w:tabs>
        <w:ind w:left="1381" w:hanging="360"/>
      </w:pPr>
      <w:rPr>
        <w:rFonts w:ascii="Symbol" w:hAnsi="Symbol" w:hint="default"/>
        <w:b w:val="0"/>
        <w:sz w:val="24"/>
        <w:szCs w:val="24"/>
      </w:rPr>
    </w:lvl>
    <w:lvl w:ilvl="1" w:tplc="08090001">
      <w:start w:val="1"/>
      <w:numFmt w:val="bullet"/>
      <w:lvlText w:val=""/>
      <w:lvlJc w:val="left"/>
      <w:pPr>
        <w:tabs>
          <w:tab w:val="num" w:pos="2461"/>
        </w:tabs>
        <w:ind w:left="2461" w:hanging="360"/>
      </w:pPr>
      <w:rPr>
        <w:rFonts w:ascii="Symbol" w:hAnsi="Symbol" w:hint="default"/>
      </w:rPr>
    </w:lvl>
    <w:lvl w:ilvl="2" w:tplc="CDD86B1A">
      <w:start w:val="1"/>
      <w:numFmt w:val="lowerRoman"/>
      <w:lvlText w:val="(%3)"/>
      <w:lvlJc w:val="left"/>
      <w:pPr>
        <w:tabs>
          <w:tab w:val="num" w:pos="3721"/>
        </w:tabs>
        <w:ind w:left="3721" w:hanging="720"/>
      </w:pPr>
      <w:rPr>
        <w:rFonts w:hint="default"/>
      </w:rPr>
    </w:lvl>
    <w:lvl w:ilvl="3" w:tplc="4E3E0EE6">
      <w:start w:val="1"/>
      <w:numFmt w:val="lowerLetter"/>
      <w:lvlText w:val="(%4)"/>
      <w:lvlJc w:val="left"/>
      <w:pPr>
        <w:tabs>
          <w:tab w:val="num" w:pos="4261"/>
        </w:tabs>
        <w:ind w:left="4261" w:hanging="720"/>
      </w:pPr>
      <w:rPr>
        <w:rFonts w:hint="default"/>
      </w:r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39">
    <w:nsid w:val="5C29673B"/>
    <w:multiLevelType w:val="hybridMultilevel"/>
    <w:tmpl w:val="DF42878C"/>
    <w:lvl w:ilvl="0" w:tplc="8BEC8216">
      <w:start w:val="1"/>
      <w:numFmt w:val="decimal"/>
      <w:lvlText w:val="%1."/>
      <w:lvlJc w:val="left"/>
      <w:pPr>
        <w:ind w:left="426" w:hanging="360"/>
      </w:pPr>
      <w:rPr>
        <w:rFonts w:cs="Times New Roman"/>
        <w:b w:val="0"/>
      </w:rPr>
    </w:lvl>
    <w:lvl w:ilvl="1" w:tplc="041B0019">
      <w:start w:val="1"/>
      <w:numFmt w:val="lowerLetter"/>
      <w:lvlText w:val="%2."/>
      <w:lvlJc w:val="left"/>
      <w:pPr>
        <w:ind w:left="1146" w:hanging="360"/>
      </w:pPr>
      <w:rPr>
        <w:rFonts w:cs="Times New Roman"/>
      </w:rPr>
    </w:lvl>
    <w:lvl w:ilvl="2" w:tplc="041B001B" w:tentative="1">
      <w:start w:val="1"/>
      <w:numFmt w:val="lowerRoman"/>
      <w:lvlText w:val="%3."/>
      <w:lvlJc w:val="right"/>
      <w:pPr>
        <w:ind w:left="1866" w:hanging="180"/>
      </w:pPr>
      <w:rPr>
        <w:rFonts w:cs="Times New Roman"/>
      </w:rPr>
    </w:lvl>
    <w:lvl w:ilvl="3" w:tplc="041B000F" w:tentative="1">
      <w:start w:val="1"/>
      <w:numFmt w:val="decimal"/>
      <w:lvlText w:val="%4."/>
      <w:lvlJc w:val="left"/>
      <w:pPr>
        <w:ind w:left="2586" w:hanging="360"/>
      </w:pPr>
      <w:rPr>
        <w:rFonts w:cs="Times New Roman"/>
      </w:rPr>
    </w:lvl>
    <w:lvl w:ilvl="4" w:tplc="041B0019" w:tentative="1">
      <w:start w:val="1"/>
      <w:numFmt w:val="lowerLetter"/>
      <w:lvlText w:val="%5."/>
      <w:lvlJc w:val="left"/>
      <w:pPr>
        <w:ind w:left="3306" w:hanging="360"/>
      </w:pPr>
      <w:rPr>
        <w:rFonts w:cs="Times New Roman"/>
      </w:rPr>
    </w:lvl>
    <w:lvl w:ilvl="5" w:tplc="041B001B" w:tentative="1">
      <w:start w:val="1"/>
      <w:numFmt w:val="lowerRoman"/>
      <w:lvlText w:val="%6."/>
      <w:lvlJc w:val="right"/>
      <w:pPr>
        <w:ind w:left="4026" w:hanging="180"/>
      </w:pPr>
      <w:rPr>
        <w:rFonts w:cs="Times New Roman"/>
      </w:rPr>
    </w:lvl>
    <w:lvl w:ilvl="6" w:tplc="041B000F" w:tentative="1">
      <w:start w:val="1"/>
      <w:numFmt w:val="decimal"/>
      <w:lvlText w:val="%7."/>
      <w:lvlJc w:val="left"/>
      <w:pPr>
        <w:ind w:left="4746" w:hanging="360"/>
      </w:pPr>
      <w:rPr>
        <w:rFonts w:cs="Times New Roman"/>
      </w:rPr>
    </w:lvl>
    <w:lvl w:ilvl="7" w:tplc="041B0019" w:tentative="1">
      <w:start w:val="1"/>
      <w:numFmt w:val="lowerLetter"/>
      <w:lvlText w:val="%8."/>
      <w:lvlJc w:val="left"/>
      <w:pPr>
        <w:ind w:left="5466" w:hanging="360"/>
      </w:pPr>
      <w:rPr>
        <w:rFonts w:cs="Times New Roman"/>
      </w:rPr>
    </w:lvl>
    <w:lvl w:ilvl="8" w:tplc="041B001B" w:tentative="1">
      <w:start w:val="1"/>
      <w:numFmt w:val="lowerRoman"/>
      <w:lvlText w:val="%9."/>
      <w:lvlJc w:val="right"/>
      <w:pPr>
        <w:ind w:left="6186" w:hanging="180"/>
      </w:pPr>
      <w:rPr>
        <w:rFonts w:cs="Times New Roman"/>
      </w:rPr>
    </w:lvl>
  </w:abstractNum>
  <w:abstractNum w:abstractNumId="40">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41">
    <w:nsid w:val="616640F1"/>
    <w:multiLevelType w:val="hybridMultilevel"/>
    <w:tmpl w:val="1BE80604"/>
    <w:lvl w:ilvl="0" w:tplc="4D2CEBAC">
      <w:start w:val="1"/>
      <w:numFmt w:val="decimal"/>
      <w:lvlText w:val="%1."/>
      <w:lvlJc w:val="left"/>
      <w:pPr>
        <w:ind w:left="426"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ED59B9"/>
    <w:multiLevelType w:val="hybridMultilevel"/>
    <w:tmpl w:val="C2A245C4"/>
    <w:lvl w:ilvl="0" w:tplc="2FEC00B0">
      <w:start w:val="3"/>
      <w:numFmt w:val="bullet"/>
      <w:lvlText w:val="-"/>
      <w:lvlJc w:val="left"/>
      <w:pPr>
        <w:ind w:left="1440" w:hanging="360"/>
      </w:pPr>
      <w:rPr>
        <w:rFonts w:ascii="Calibri" w:eastAsia="MS Mincho"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nsid w:val="632E3AA0"/>
    <w:multiLevelType w:val="hybridMultilevel"/>
    <w:tmpl w:val="14DA4BF8"/>
    <w:lvl w:ilvl="0" w:tplc="F074439A">
      <w:start w:val="1"/>
      <w:numFmt w:val="decimal"/>
      <w:lvlText w:val="%1."/>
      <w:lvlJc w:val="left"/>
      <w:pPr>
        <w:tabs>
          <w:tab w:val="num" w:pos="1021"/>
        </w:tabs>
        <w:ind w:left="1021" w:hanging="1021"/>
      </w:pPr>
      <w:rPr>
        <w:rFonts w:hint="default"/>
        <w:b w:val="0"/>
        <w:sz w:val="22"/>
        <w:szCs w:val="22"/>
      </w:rPr>
    </w:lvl>
    <w:lvl w:ilvl="1" w:tplc="08090003">
      <w:start w:val="1"/>
      <w:numFmt w:val="bullet"/>
      <w:lvlText w:val="o"/>
      <w:lvlJc w:val="left"/>
      <w:pPr>
        <w:tabs>
          <w:tab w:val="num" w:pos="1440"/>
        </w:tabs>
        <w:ind w:left="1440" w:hanging="360"/>
      </w:pPr>
      <w:rPr>
        <w:rFonts w:ascii="Courier New" w:hAnsi="Courier New" w:cs="Courier New" w:hint="default"/>
        <w:b w:val="0"/>
        <w:sz w:val="24"/>
        <w:szCs w:val="24"/>
      </w:rPr>
    </w:lvl>
    <w:lvl w:ilvl="2" w:tplc="CDD86B1A">
      <w:start w:val="1"/>
      <w:numFmt w:val="lowerRoman"/>
      <w:lvlText w:val="(%3)"/>
      <w:lvlJc w:val="left"/>
      <w:pPr>
        <w:tabs>
          <w:tab w:val="num" w:pos="2700"/>
        </w:tabs>
        <w:ind w:left="2700" w:hanging="720"/>
      </w:pPr>
      <w:rPr>
        <w:rFonts w:hint="default"/>
      </w:rPr>
    </w:lvl>
    <w:lvl w:ilvl="3" w:tplc="4E3E0EE6">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6F0429D"/>
    <w:multiLevelType w:val="hybridMultilevel"/>
    <w:tmpl w:val="8CAE94C6"/>
    <w:lvl w:ilvl="0" w:tplc="1DB2838C">
      <w:start w:val="1"/>
      <w:numFmt w:val="decimal"/>
      <w:lvlText w:val="2.%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67795739"/>
    <w:multiLevelType w:val="hybridMultilevel"/>
    <w:tmpl w:val="DF42878C"/>
    <w:lvl w:ilvl="0" w:tplc="8BEC8216">
      <w:start w:val="1"/>
      <w:numFmt w:val="decimal"/>
      <w:lvlText w:val="%1."/>
      <w:lvlJc w:val="left"/>
      <w:pPr>
        <w:ind w:left="426" w:hanging="360"/>
      </w:pPr>
      <w:rPr>
        <w:rFonts w:cs="Times New Roman"/>
        <w:b w:val="0"/>
      </w:rPr>
    </w:lvl>
    <w:lvl w:ilvl="1" w:tplc="041B0019">
      <w:start w:val="1"/>
      <w:numFmt w:val="lowerLetter"/>
      <w:lvlText w:val="%2."/>
      <w:lvlJc w:val="left"/>
      <w:pPr>
        <w:ind w:left="1146" w:hanging="360"/>
      </w:pPr>
      <w:rPr>
        <w:rFonts w:cs="Times New Roman"/>
      </w:rPr>
    </w:lvl>
    <w:lvl w:ilvl="2" w:tplc="041B001B" w:tentative="1">
      <w:start w:val="1"/>
      <w:numFmt w:val="lowerRoman"/>
      <w:lvlText w:val="%3."/>
      <w:lvlJc w:val="right"/>
      <w:pPr>
        <w:ind w:left="1866" w:hanging="180"/>
      </w:pPr>
      <w:rPr>
        <w:rFonts w:cs="Times New Roman"/>
      </w:rPr>
    </w:lvl>
    <w:lvl w:ilvl="3" w:tplc="041B000F" w:tentative="1">
      <w:start w:val="1"/>
      <w:numFmt w:val="decimal"/>
      <w:lvlText w:val="%4."/>
      <w:lvlJc w:val="left"/>
      <w:pPr>
        <w:ind w:left="2586" w:hanging="360"/>
      </w:pPr>
      <w:rPr>
        <w:rFonts w:cs="Times New Roman"/>
      </w:rPr>
    </w:lvl>
    <w:lvl w:ilvl="4" w:tplc="041B0019" w:tentative="1">
      <w:start w:val="1"/>
      <w:numFmt w:val="lowerLetter"/>
      <w:lvlText w:val="%5."/>
      <w:lvlJc w:val="left"/>
      <w:pPr>
        <w:ind w:left="3306" w:hanging="360"/>
      </w:pPr>
      <w:rPr>
        <w:rFonts w:cs="Times New Roman"/>
      </w:rPr>
    </w:lvl>
    <w:lvl w:ilvl="5" w:tplc="041B001B" w:tentative="1">
      <w:start w:val="1"/>
      <w:numFmt w:val="lowerRoman"/>
      <w:lvlText w:val="%6."/>
      <w:lvlJc w:val="right"/>
      <w:pPr>
        <w:ind w:left="4026" w:hanging="180"/>
      </w:pPr>
      <w:rPr>
        <w:rFonts w:cs="Times New Roman"/>
      </w:rPr>
    </w:lvl>
    <w:lvl w:ilvl="6" w:tplc="041B000F" w:tentative="1">
      <w:start w:val="1"/>
      <w:numFmt w:val="decimal"/>
      <w:lvlText w:val="%7."/>
      <w:lvlJc w:val="left"/>
      <w:pPr>
        <w:ind w:left="4746" w:hanging="360"/>
      </w:pPr>
      <w:rPr>
        <w:rFonts w:cs="Times New Roman"/>
      </w:rPr>
    </w:lvl>
    <w:lvl w:ilvl="7" w:tplc="041B0019" w:tentative="1">
      <w:start w:val="1"/>
      <w:numFmt w:val="lowerLetter"/>
      <w:lvlText w:val="%8."/>
      <w:lvlJc w:val="left"/>
      <w:pPr>
        <w:ind w:left="5466" w:hanging="360"/>
      </w:pPr>
      <w:rPr>
        <w:rFonts w:cs="Times New Roman"/>
      </w:rPr>
    </w:lvl>
    <w:lvl w:ilvl="8" w:tplc="041B001B" w:tentative="1">
      <w:start w:val="1"/>
      <w:numFmt w:val="lowerRoman"/>
      <w:lvlText w:val="%9."/>
      <w:lvlJc w:val="right"/>
      <w:pPr>
        <w:ind w:left="6186" w:hanging="180"/>
      </w:pPr>
      <w:rPr>
        <w:rFonts w:cs="Times New Roman"/>
      </w:rPr>
    </w:lvl>
  </w:abstractNum>
  <w:abstractNum w:abstractNumId="46">
    <w:nsid w:val="6DB21B99"/>
    <w:multiLevelType w:val="hybridMultilevel"/>
    <w:tmpl w:val="D2606C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nsid w:val="6ED52FE8"/>
    <w:multiLevelType w:val="multilevel"/>
    <w:tmpl w:val="2ABCB964"/>
    <w:lvl w:ilvl="0">
      <w:start w:val="10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FE73F04"/>
    <w:multiLevelType w:val="hybridMultilevel"/>
    <w:tmpl w:val="80CC88BC"/>
    <w:lvl w:ilvl="0" w:tplc="590EFE46">
      <w:start w:val="1"/>
      <w:numFmt w:val="bullet"/>
      <w:lvlText w:val=""/>
      <w:lvlJc w:val="left"/>
      <w:pPr>
        <w:tabs>
          <w:tab w:val="num" w:pos="1741"/>
        </w:tabs>
        <w:ind w:left="1741" w:hanging="360"/>
      </w:pPr>
      <w:rPr>
        <w:rFonts w:ascii="Symbol" w:hAnsi="Symbol" w:hint="default"/>
        <w:color w:val="auto"/>
      </w:rPr>
    </w:lvl>
    <w:lvl w:ilvl="1" w:tplc="04070003">
      <w:start w:val="1"/>
      <w:numFmt w:val="bullet"/>
      <w:lvlText w:val="o"/>
      <w:lvlJc w:val="left"/>
      <w:pPr>
        <w:tabs>
          <w:tab w:val="num" w:pos="2461"/>
        </w:tabs>
        <w:ind w:left="2461" w:hanging="360"/>
      </w:pPr>
      <w:rPr>
        <w:rFonts w:ascii="Courier New" w:hAnsi="Courier New" w:cs="Courier New" w:hint="default"/>
        <w:color w:val="auto"/>
      </w:rPr>
    </w:lvl>
    <w:lvl w:ilvl="2" w:tplc="0809001B">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49">
    <w:nsid w:val="705D7BF1"/>
    <w:multiLevelType w:val="hybridMultilevel"/>
    <w:tmpl w:val="58227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1477E9B"/>
    <w:multiLevelType w:val="hybridMultilevel"/>
    <w:tmpl w:val="4440D4DA"/>
    <w:lvl w:ilvl="0" w:tplc="1E4820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21B52B5"/>
    <w:multiLevelType w:val="hybridMultilevel"/>
    <w:tmpl w:val="61B824D6"/>
    <w:lvl w:ilvl="0" w:tplc="041B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36549C3"/>
    <w:multiLevelType w:val="hybridMultilevel"/>
    <w:tmpl w:val="F3EEA542"/>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527AA0"/>
    <w:multiLevelType w:val="hybridMultilevel"/>
    <w:tmpl w:val="D3C81D78"/>
    <w:lvl w:ilvl="0" w:tplc="0C3A5EAE">
      <w:start w:val="1"/>
      <w:numFmt w:val="decimal"/>
      <w:lvlText w:val="2.%1."/>
      <w:lvlJc w:val="left"/>
      <w:pPr>
        <w:tabs>
          <w:tab w:val="num" w:pos="720"/>
        </w:tabs>
        <w:ind w:left="720" w:hanging="360"/>
      </w:pPr>
      <w:rPr>
        <w:rFonts w:hint="default"/>
      </w:rPr>
    </w:lvl>
    <w:lvl w:ilvl="1" w:tplc="B35201DC">
      <w:start w:val="1"/>
      <w:numFmt w:val="decimal"/>
      <w:lvlText w:val="3.%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nsid w:val="77664C27"/>
    <w:multiLevelType w:val="multilevel"/>
    <w:tmpl w:val="971CB534"/>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9156524"/>
    <w:multiLevelType w:val="hybridMultilevel"/>
    <w:tmpl w:val="4044D748"/>
    <w:lvl w:ilvl="0" w:tplc="70C6B692">
      <w:start w:val="1"/>
      <w:numFmt w:val="decimal"/>
      <w:lvlText w:val="1.%1."/>
      <w:lvlJc w:val="left"/>
      <w:pPr>
        <w:tabs>
          <w:tab w:val="num" w:pos="360"/>
        </w:tabs>
        <w:ind w:left="360" w:hanging="360"/>
      </w:pPr>
      <w:rPr>
        <w:rFonts w:hint="default"/>
        <w:b w:val="0"/>
        <w:i w:val="0"/>
      </w:rPr>
    </w:lvl>
    <w:lvl w:ilvl="1" w:tplc="9578C0F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6">
    <w:nsid w:val="7B6F18A4"/>
    <w:multiLevelType w:val="hybridMultilevel"/>
    <w:tmpl w:val="4CB893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BF538A6"/>
    <w:multiLevelType w:val="hybridMultilevel"/>
    <w:tmpl w:val="DF42878C"/>
    <w:lvl w:ilvl="0" w:tplc="8BEC8216">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7CC56721"/>
    <w:multiLevelType w:val="hybridMultilevel"/>
    <w:tmpl w:val="DF42878C"/>
    <w:lvl w:ilvl="0" w:tplc="8BEC8216">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9">
    <w:nsid w:val="7F1404EC"/>
    <w:multiLevelType w:val="hybridMultilevel"/>
    <w:tmpl w:val="0E0A0BFA"/>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F2C12D7"/>
    <w:multiLevelType w:val="hybridMultilevel"/>
    <w:tmpl w:val="E32A732E"/>
    <w:lvl w:ilvl="0" w:tplc="041B0001">
      <w:start w:val="1"/>
      <w:numFmt w:val="bullet"/>
      <w:lvlText w:val=""/>
      <w:lvlJc w:val="left"/>
      <w:pPr>
        <w:ind w:left="720" w:hanging="360"/>
      </w:pPr>
      <w:rPr>
        <w:rFonts w:ascii="Symbol" w:hAnsi="Symbol" w:hint="default"/>
        <w:sz w:val="22"/>
        <w:szCs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3"/>
  </w:num>
  <w:num w:numId="2">
    <w:abstractNumId w:val="6"/>
  </w:num>
  <w:num w:numId="3">
    <w:abstractNumId w:val="50"/>
  </w:num>
  <w:num w:numId="4">
    <w:abstractNumId w:val="3"/>
  </w:num>
  <w:num w:numId="5">
    <w:abstractNumId w:val="38"/>
  </w:num>
  <w:num w:numId="6">
    <w:abstractNumId w:val="31"/>
  </w:num>
  <w:num w:numId="7">
    <w:abstractNumId w:val="53"/>
  </w:num>
  <w:num w:numId="8">
    <w:abstractNumId w:val="1"/>
  </w:num>
  <w:num w:numId="9">
    <w:abstractNumId w:val="29"/>
  </w:num>
  <w:num w:numId="10">
    <w:abstractNumId w:val="37"/>
  </w:num>
  <w:num w:numId="11">
    <w:abstractNumId w:val="48"/>
  </w:num>
  <w:num w:numId="12">
    <w:abstractNumId w:val="12"/>
  </w:num>
  <w:num w:numId="13">
    <w:abstractNumId w:val="30"/>
  </w:num>
  <w:num w:numId="14">
    <w:abstractNumId w:val="47"/>
  </w:num>
  <w:num w:numId="15">
    <w:abstractNumId w:val="0"/>
  </w:num>
  <w:num w:numId="16">
    <w:abstractNumId w:val="54"/>
  </w:num>
  <w:num w:numId="17">
    <w:abstractNumId w:val="26"/>
  </w:num>
  <w:num w:numId="18">
    <w:abstractNumId w:val="19"/>
  </w:num>
  <w:num w:numId="19">
    <w:abstractNumId w:val="14"/>
  </w:num>
  <w:num w:numId="20">
    <w:abstractNumId w:val="21"/>
  </w:num>
  <w:num w:numId="21">
    <w:abstractNumId w:val="2"/>
  </w:num>
  <w:num w:numId="22">
    <w:abstractNumId w:val="44"/>
  </w:num>
  <w:num w:numId="23">
    <w:abstractNumId w:val="20"/>
  </w:num>
  <w:num w:numId="24">
    <w:abstractNumId w:val="24"/>
  </w:num>
  <w:num w:numId="25">
    <w:abstractNumId w:val="55"/>
  </w:num>
  <w:num w:numId="26">
    <w:abstractNumId w:val="23"/>
  </w:num>
  <w:num w:numId="27">
    <w:abstractNumId w:val="11"/>
  </w:num>
  <w:num w:numId="28">
    <w:abstractNumId w:val="22"/>
  </w:num>
  <w:num w:numId="29">
    <w:abstractNumId w:val="10"/>
  </w:num>
  <w:num w:numId="30">
    <w:abstractNumId w:val="34"/>
  </w:num>
  <w:num w:numId="31">
    <w:abstractNumId w:val="46"/>
  </w:num>
  <w:num w:numId="32">
    <w:abstractNumId w:val="40"/>
  </w:num>
  <w:num w:numId="33">
    <w:abstractNumId w:val="36"/>
  </w:num>
  <w:num w:numId="34">
    <w:abstractNumId w:val="57"/>
  </w:num>
  <w:num w:numId="35">
    <w:abstractNumId w:val="39"/>
  </w:num>
  <w:num w:numId="36">
    <w:abstractNumId w:val="58"/>
  </w:num>
  <w:num w:numId="37">
    <w:abstractNumId w:val="8"/>
  </w:num>
  <w:num w:numId="38">
    <w:abstractNumId w:val="42"/>
  </w:num>
  <w:num w:numId="39">
    <w:abstractNumId w:val="49"/>
  </w:num>
  <w:num w:numId="40">
    <w:abstractNumId w:val="35"/>
  </w:num>
  <w:num w:numId="41">
    <w:abstractNumId w:val="5"/>
  </w:num>
  <w:num w:numId="42">
    <w:abstractNumId w:val="18"/>
  </w:num>
  <w:num w:numId="43">
    <w:abstractNumId w:val="59"/>
  </w:num>
  <w:num w:numId="44">
    <w:abstractNumId w:val="16"/>
  </w:num>
  <w:num w:numId="45">
    <w:abstractNumId w:val="52"/>
  </w:num>
  <w:num w:numId="46">
    <w:abstractNumId w:val="27"/>
  </w:num>
  <w:num w:numId="47">
    <w:abstractNumId w:val="15"/>
  </w:num>
  <w:num w:numId="48">
    <w:abstractNumId w:val="9"/>
  </w:num>
  <w:num w:numId="49">
    <w:abstractNumId w:val="51"/>
  </w:num>
  <w:num w:numId="50">
    <w:abstractNumId w:val="7"/>
  </w:num>
  <w:num w:numId="51">
    <w:abstractNumId w:val="45"/>
  </w:num>
  <w:num w:numId="52">
    <w:abstractNumId w:val="32"/>
  </w:num>
  <w:num w:numId="53">
    <w:abstractNumId w:val="25"/>
  </w:num>
  <w:num w:numId="54">
    <w:abstractNumId w:val="60"/>
  </w:num>
  <w:num w:numId="55">
    <w:abstractNumId w:val="13"/>
  </w:num>
  <w:num w:numId="56">
    <w:abstractNumId w:val="4"/>
  </w:num>
  <w:num w:numId="57">
    <w:abstractNumId w:val="56"/>
  </w:num>
  <w:num w:numId="58">
    <w:abstractNumId w:val="41"/>
  </w:num>
  <w:num w:numId="59">
    <w:abstractNumId w:val="28"/>
  </w:num>
  <w:num w:numId="60">
    <w:abstractNumId w:val="33"/>
  </w:num>
  <w:num w:numId="61">
    <w:abstractNumId w:val="17"/>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IOPA-[WG]-YY-XXX SIMPLE DOCUMENT - COPY"/>
  </w:docVars>
  <w:rsids>
    <w:rsidRoot w:val="001D5B8C"/>
    <w:rsid w:val="000003EE"/>
    <w:rsid w:val="00000729"/>
    <w:rsid w:val="0000222A"/>
    <w:rsid w:val="000036FE"/>
    <w:rsid w:val="0000513D"/>
    <w:rsid w:val="000066A7"/>
    <w:rsid w:val="000072F5"/>
    <w:rsid w:val="000103D4"/>
    <w:rsid w:val="0001208B"/>
    <w:rsid w:val="00015C2E"/>
    <w:rsid w:val="00016E2A"/>
    <w:rsid w:val="00020F86"/>
    <w:rsid w:val="00020FE0"/>
    <w:rsid w:val="00021D46"/>
    <w:rsid w:val="00022254"/>
    <w:rsid w:val="00022782"/>
    <w:rsid w:val="00024C14"/>
    <w:rsid w:val="00024F89"/>
    <w:rsid w:val="000250F1"/>
    <w:rsid w:val="00025BBF"/>
    <w:rsid w:val="000262B1"/>
    <w:rsid w:val="000272F6"/>
    <w:rsid w:val="00027961"/>
    <w:rsid w:val="00030647"/>
    <w:rsid w:val="00030F5B"/>
    <w:rsid w:val="00032AF1"/>
    <w:rsid w:val="000372EE"/>
    <w:rsid w:val="00040EA4"/>
    <w:rsid w:val="0004102E"/>
    <w:rsid w:val="00041381"/>
    <w:rsid w:val="00043636"/>
    <w:rsid w:val="000438A4"/>
    <w:rsid w:val="0004566A"/>
    <w:rsid w:val="00046643"/>
    <w:rsid w:val="00047ED8"/>
    <w:rsid w:val="00050267"/>
    <w:rsid w:val="00050E24"/>
    <w:rsid w:val="00051250"/>
    <w:rsid w:val="00052E82"/>
    <w:rsid w:val="000534DB"/>
    <w:rsid w:val="00053742"/>
    <w:rsid w:val="000537ED"/>
    <w:rsid w:val="00053A80"/>
    <w:rsid w:val="00054A93"/>
    <w:rsid w:val="000558E3"/>
    <w:rsid w:val="0005672F"/>
    <w:rsid w:val="00060221"/>
    <w:rsid w:val="000604A9"/>
    <w:rsid w:val="00062BEC"/>
    <w:rsid w:val="0006310D"/>
    <w:rsid w:val="00063D56"/>
    <w:rsid w:val="0006500A"/>
    <w:rsid w:val="0006636B"/>
    <w:rsid w:val="000663A9"/>
    <w:rsid w:val="00070B67"/>
    <w:rsid w:val="000720DB"/>
    <w:rsid w:val="00072204"/>
    <w:rsid w:val="00072E7D"/>
    <w:rsid w:val="00073C5B"/>
    <w:rsid w:val="0007403F"/>
    <w:rsid w:val="0007454A"/>
    <w:rsid w:val="0007499D"/>
    <w:rsid w:val="000754CF"/>
    <w:rsid w:val="0007608F"/>
    <w:rsid w:val="000779A2"/>
    <w:rsid w:val="000800CD"/>
    <w:rsid w:val="0008040A"/>
    <w:rsid w:val="00081879"/>
    <w:rsid w:val="00082961"/>
    <w:rsid w:val="000835E0"/>
    <w:rsid w:val="00084117"/>
    <w:rsid w:val="00085B80"/>
    <w:rsid w:val="00086C39"/>
    <w:rsid w:val="00094AED"/>
    <w:rsid w:val="00094CC5"/>
    <w:rsid w:val="00095637"/>
    <w:rsid w:val="00095EF4"/>
    <w:rsid w:val="00096341"/>
    <w:rsid w:val="000A040E"/>
    <w:rsid w:val="000A0A88"/>
    <w:rsid w:val="000A1896"/>
    <w:rsid w:val="000A2595"/>
    <w:rsid w:val="000A2A24"/>
    <w:rsid w:val="000A2E6F"/>
    <w:rsid w:val="000A421F"/>
    <w:rsid w:val="000A5A12"/>
    <w:rsid w:val="000A5B71"/>
    <w:rsid w:val="000A7D1B"/>
    <w:rsid w:val="000B1282"/>
    <w:rsid w:val="000B1294"/>
    <w:rsid w:val="000B1327"/>
    <w:rsid w:val="000B1C2B"/>
    <w:rsid w:val="000B1D35"/>
    <w:rsid w:val="000B394F"/>
    <w:rsid w:val="000B40D2"/>
    <w:rsid w:val="000B5185"/>
    <w:rsid w:val="000B6792"/>
    <w:rsid w:val="000B6ADE"/>
    <w:rsid w:val="000B6B17"/>
    <w:rsid w:val="000B7D05"/>
    <w:rsid w:val="000C0163"/>
    <w:rsid w:val="000C0190"/>
    <w:rsid w:val="000C0E7C"/>
    <w:rsid w:val="000C2969"/>
    <w:rsid w:val="000C3025"/>
    <w:rsid w:val="000C3936"/>
    <w:rsid w:val="000C3955"/>
    <w:rsid w:val="000C46B7"/>
    <w:rsid w:val="000C4A58"/>
    <w:rsid w:val="000C67E0"/>
    <w:rsid w:val="000D03F9"/>
    <w:rsid w:val="000D0F04"/>
    <w:rsid w:val="000D12CD"/>
    <w:rsid w:val="000D2813"/>
    <w:rsid w:val="000D2E37"/>
    <w:rsid w:val="000D5964"/>
    <w:rsid w:val="000D627D"/>
    <w:rsid w:val="000D79E5"/>
    <w:rsid w:val="000E1F31"/>
    <w:rsid w:val="000E5CBF"/>
    <w:rsid w:val="000E6507"/>
    <w:rsid w:val="000E6F0E"/>
    <w:rsid w:val="000E75E8"/>
    <w:rsid w:val="000E7ED9"/>
    <w:rsid w:val="000F13C1"/>
    <w:rsid w:val="000F2857"/>
    <w:rsid w:val="000F347E"/>
    <w:rsid w:val="000F5B13"/>
    <w:rsid w:val="000F5C90"/>
    <w:rsid w:val="000F5CDB"/>
    <w:rsid w:val="000F6838"/>
    <w:rsid w:val="000F6B32"/>
    <w:rsid w:val="000F7DBA"/>
    <w:rsid w:val="00102CA3"/>
    <w:rsid w:val="00103CD8"/>
    <w:rsid w:val="00104284"/>
    <w:rsid w:val="001053CB"/>
    <w:rsid w:val="001075BE"/>
    <w:rsid w:val="00107A92"/>
    <w:rsid w:val="0011024F"/>
    <w:rsid w:val="001113D0"/>
    <w:rsid w:val="001127B5"/>
    <w:rsid w:val="001134DC"/>
    <w:rsid w:val="0011438E"/>
    <w:rsid w:val="00115540"/>
    <w:rsid w:val="001170E0"/>
    <w:rsid w:val="0012142A"/>
    <w:rsid w:val="0012329B"/>
    <w:rsid w:val="00123806"/>
    <w:rsid w:val="001242A9"/>
    <w:rsid w:val="0012443A"/>
    <w:rsid w:val="00125683"/>
    <w:rsid w:val="00126AB2"/>
    <w:rsid w:val="00132C26"/>
    <w:rsid w:val="001333C5"/>
    <w:rsid w:val="00134A64"/>
    <w:rsid w:val="001351D1"/>
    <w:rsid w:val="00135E5F"/>
    <w:rsid w:val="00140D62"/>
    <w:rsid w:val="00140EA9"/>
    <w:rsid w:val="0014259B"/>
    <w:rsid w:val="00144ACB"/>
    <w:rsid w:val="001459E1"/>
    <w:rsid w:val="00147FA2"/>
    <w:rsid w:val="001503CB"/>
    <w:rsid w:val="001509C5"/>
    <w:rsid w:val="00150F03"/>
    <w:rsid w:val="001528DA"/>
    <w:rsid w:val="00153691"/>
    <w:rsid w:val="00153794"/>
    <w:rsid w:val="0015591B"/>
    <w:rsid w:val="00155DDA"/>
    <w:rsid w:val="001561F5"/>
    <w:rsid w:val="00156E02"/>
    <w:rsid w:val="001579F1"/>
    <w:rsid w:val="001623DF"/>
    <w:rsid w:val="0016378F"/>
    <w:rsid w:val="00163FA7"/>
    <w:rsid w:val="001641E2"/>
    <w:rsid w:val="00164379"/>
    <w:rsid w:val="00165529"/>
    <w:rsid w:val="00166A58"/>
    <w:rsid w:val="00170203"/>
    <w:rsid w:val="00170F4A"/>
    <w:rsid w:val="0017131C"/>
    <w:rsid w:val="00171646"/>
    <w:rsid w:val="001718A4"/>
    <w:rsid w:val="00171BE9"/>
    <w:rsid w:val="001731FB"/>
    <w:rsid w:val="001733AA"/>
    <w:rsid w:val="00174E69"/>
    <w:rsid w:val="001753C3"/>
    <w:rsid w:val="00175A12"/>
    <w:rsid w:val="00177715"/>
    <w:rsid w:val="00177C03"/>
    <w:rsid w:val="00180A21"/>
    <w:rsid w:val="00181A03"/>
    <w:rsid w:val="00181CE5"/>
    <w:rsid w:val="001835B3"/>
    <w:rsid w:val="00183C98"/>
    <w:rsid w:val="0018553F"/>
    <w:rsid w:val="00187D90"/>
    <w:rsid w:val="001915A7"/>
    <w:rsid w:val="00194C5A"/>
    <w:rsid w:val="00194D45"/>
    <w:rsid w:val="001A59AD"/>
    <w:rsid w:val="001A6263"/>
    <w:rsid w:val="001A6684"/>
    <w:rsid w:val="001B0D2E"/>
    <w:rsid w:val="001B15F9"/>
    <w:rsid w:val="001B44D0"/>
    <w:rsid w:val="001B44F4"/>
    <w:rsid w:val="001B5A30"/>
    <w:rsid w:val="001B5AFD"/>
    <w:rsid w:val="001C0088"/>
    <w:rsid w:val="001C203A"/>
    <w:rsid w:val="001C3F52"/>
    <w:rsid w:val="001C436E"/>
    <w:rsid w:val="001C5843"/>
    <w:rsid w:val="001C597B"/>
    <w:rsid w:val="001C70C7"/>
    <w:rsid w:val="001C7A5F"/>
    <w:rsid w:val="001C7CC8"/>
    <w:rsid w:val="001D076B"/>
    <w:rsid w:val="001D0C6C"/>
    <w:rsid w:val="001D20DD"/>
    <w:rsid w:val="001D2879"/>
    <w:rsid w:val="001D2A16"/>
    <w:rsid w:val="001D3297"/>
    <w:rsid w:val="001D3E2E"/>
    <w:rsid w:val="001D44EA"/>
    <w:rsid w:val="001D47A6"/>
    <w:rsid w:val="001D5B8C"/>
    <w:rsid w:val="001D6DC8"/>
    <w:rsid w:val="001E0080"/>
    <w:rsid w:val="001E0420"/>
    <w:rsid w:val="001E0B62"/>
    <w:rsid w:val="001E3652"/>
    <w:rsid w:val="001E4167"/>
    <w:rsid w:val="001E4522"/>
    <w:rsid w:val="001E4971"/>
    <w:rsid w:val="001E4E5D"/>
    <w:rsid w:val="001F17E0"/>
    <w:rsid w:val="001F5E82"/>
    <w:rsid w:val="001F6A15"/>
    <w:rsid w:val="001F6CB6"/>
    <w:rsid w:val="001F704A"/>
    <w:rsid w:val="00201106"/>
    <w:rsid w:val="002017CC"/>
    <w:rsid w:val="0020290C"/>
    <w:rsid w:val="002032F9"/>
    <w:rsid w:val="00203E74"/>
    <w:rsid w:val="002060FB"/>
    <w:rsid w:val="002060FF"/>
    <w:rsid w:val="0020644A"/>
    <w:rsid w:val="002067F1"/>
    <w:rsid w:val="0021112F"/>
    <w:rsid w:val="0021144C"/>
    <w:rsid w:val="002116A8"/>
    <w:rsid w:val="002116F6"/>
    <w:rsid w:val="0021182C"/>
    <w:rsid w:val="0021321F"/>
    <w:rsid w:val="002140D6"/>
    <w:rsid w:val="00214ACE"/>
    <w:rsid w:val="002151BE"/>
    <w:rsid w:val="00217929"/>
    <w:rsid w:val="0021795E"/>
    <w:rsid w:val="00220FA0"/>
    <w:rsid w:val="0022277D"/>
    <w:rsid w:val="00222B5C"/>
    <w:rsid w:val="0022562D"/>
    <w:rsid w:val="00226604"/>
    <w:rsid w:val="00230806"/>
    <w:rsid w:val="0023245A"/>
    <w:rsid w:val="00234313"/>
    <w:rsid w:val="00235581"/>
    <w:rsid w:val="00236016"/>
    <w:rsid w:val="00236A7C"/>
    <w:rsid w:val="00241189"/>
    <w:rsid w:val="00241459"/>
    <w:rsid w:val="0024222F"/>
    <w:rsid w:val="00242431"/>
    <w:rsid w:val="00244172"/>
    <w:rsid w:val="00244D88"/>
    <w:rsid w:val="00244DFE"/>
    <w:rsid w:val="00246A2E"/>
    <w:rsid w:val="00252A7B"/>
    <w:rsid w:val="00253AAA"/>
    <w:rsid w:val="00253ADE"/>
    <w:rsid w:val="00253CF8"/>
    <w:rsid w:val="00254509"/>
    <w:rsid w:val="002552E0"/>
    <w:rsid w:val="00257101"/>
    <w:rsid w:val="00257C1F"/>
    <w:rsid w:val="002605A7"/>
    <w:rsid w:val="002612E2"/>
    <w:rsid w:val="00262EAC"/>
    <w:rsid w:val="0026383E"/>
    <w:rsid w:val="002645C8"/>
    <w:rsid w:val="0026578F"/>
    <w:rsid w:val="0027443A"/>
    <w:rsid w:val="002765E0"/>
    <w:rsid w:val="002774CB"/>
    <w:rsid w:val="00280ACE"/>
    <w:rsid w:val="00281F31"/>
    <w:rsid w:val="00282967"/>
    <w:rsid w:val="0028429B"/>
    <w:rsid w:val="0028527B"/>
    <w:rsid w:val="002900AA"/>
    <w:rsid w:val="00294868"/>
    <w:rsid w:val="00294FC0"/>
    <w:rsid w:val="00297FFC"/>
    <w:rsid w:val="002A0678"/>
    <w:rsid w:val="002A14CD"/>
    <w:rsid w:val="002A3484"/>
    <w:rsid w:val="002B06C4"/>
    <w:rsid w:val="002B3675"/>
    <w:rsid w:val="002B3C01"/>
    <w:rsid w:val="002B4901"/>
    <w:rsid w:val="002B4D5B"/>
    <w:rsid w:val="002B53FB"/>
    <w:rsid w:val="002B6F77"/>
    <w:rsid w:val="002B7DEE"/>
    <w:rsid w:val="002B7EAB"/>
    <w:rsid w:val="002C0C1E"/>
    <w:rsid w:val="002C0D8D"/>
    <w:rsid w:val="002C2AF7"/>
    <w:rsid w:val="002C2B44"/>
    <w:rsid w:val="002C381F"/>
    <w:rsid w:val="002C3D87"/>
    <w:rsid w:val="002C5045"/>
    <w:rsid w:val="002C6673"/>
    <w:rsid w:val="002C6F51"/>
    <w:rsid w:val="002C7A0B"/>
    <w:rsid w:val="002D5570"/>
    <w:rsid w:val="002D5D7F"/>
    <w:rsid w:val="002D6971"/>
    <w:rsid w:val="002D7601"/>
    <w:rsid w:val="002D7BC2"/>
    <w:rsid w:val="002E042B"/>
    <w:rsid w:val="002E21CE"/>
    <w:rsid w:val="002E3F98"/>
    <w:rsid w:val="002E40B0"/>
    <w:rsid w:val="002E6C8F"/>
    <w:rsid w:val="002E6E8C"/>
    <w:rsid w:val="002F2FB5"/>
    <w:rsid w:val="002F3CB4"/>
    <w:rsid w:val="002F3D15"/>
    <w:rsid w:val="002F4B67"/>
    <w:rsid w:val="002F51EC"/>
    <w:rsid w:val="002F52F8"/>
    <w:rsid w:val="002F6567"/>
    <w:rsid w:val="002F6B1F"/>
    <w:rsid w:val="002F741D"/>
    <w:rsid w:val="0030115B"/>
    <w:rsid w:val="003039C2"/>
    <w:rsid w:val="00303B4F"/>
    <w:rsid w:val="00304B8D"/>
    <w:rsid w:val="003061F2"/>
    <w:rsid w:val="00306DFA"/>
    <w:rsid w:val="00307C38"/>
    <w:rsid w:val="003108BC"/>
    <w:rsid w:val="00310AE8"/>
    <w:rsid w:val="00310C1D"/>
    <w:rsid w:val="00312C0A"/>
    <w:rsid w:val="003146EA"/>
    <w:rsid w:val="00316430"/>
    <w:rsid w:val="003173B7"/>
    <w:rsid w:val="0032034E"/>
    <w:rsid w:val="00321881"/>
    <w:rsid w:val="003226CC"/>
    <w:rsid w:val="0032576A"/>
    <w:rsid w:val="003259D4"/>
    <w:rsid w:val="003305C8"/>
    <w:rsid w:val="00331EB4"/>
    <w:rsid w:val="0033440A"/>
    <w:rsid w:val="00335AF5"/>
    <w:rsid w:val="00336A7D"/>
    <w:rsid w:val="00340124"/>
    <w:rsid w:val="00340897"/>
    <w:rsid w:val="00342844"/>
    <w:rsid w:val="00344F8F"/>
    <w:rsid w:val="00352362"/>
    <w:rsid w:val="00352AE7"/>
    <w:rsid w:val="00353CBB"/>
    <w:rsid w:val="00355008"/>
    <w:rsid w:val="0035521A"/>
    <w:rsid w:val="00357EC3"/>
    <w:rsid w:val="00360860"/>
    <w:rsid w:val="0036451C"/>
    <w:rsid w:val="00364A41"/>
    <w:rsid w:val="00365A67"/>
    <w:rsid w:val="00366192"/>
    <w:rsid w:val="003664E4"/>
    <w:rsid w:val="0036664B"/>
    <w:rsid w:val="00372B9C"/>
    <w:rsid w:val="00373591"/>
    <w:rsid w:val="00373610"/>
    <w:rsid w:val="00375205"/>
    <w:rsid w:val="003809C9"/>
    <w:rsid w:val="00380A27"/>
    <w:rsid w:val="00380B7F"/>
    <w:rsid w:val="00381E98"/>
    <w:rsid w:val="003833D2"/>
    <w:rsid w:val="00385C5A"/>
    <w:rsid w:val="003863F8"/>
    <w:rsid w:val="00386A50"/>
    <w:rsid w:val="00386B4B"/>
    <w:rsid w:val="00386DFD"/>
    <w:rsid w:val="0038746B"/>
    <w:rsid w:val="00390738"/>
    <w:rsid w:val="00392297"/>
    <w:rsid w:val="0039434C"/>
    <w:rsid w:val="00395269"/>
    <w:rsid w:val="00397ECD"/>
    <w:rsid w:val="003A0226"/>
    <w:rsid w:val="003A079D"/>
    <w:rsid w:val="003A283C"/>
    <w:rsid w:val="003A4144"/>
    <w:rsid w:val="003B0485"/>
    <w:rsid w:val="003B1D3C"/>
    <w:rsid w:val="003B245C"/>
    <w:rsid w:val="003B4450"/>
    <w:rsid w:val="003B4A10"/>
    <w:rsid w:val="003B4AF2"/>
    <w:rsid w:val="003B5481"/>
    <w:rsid w:val="003B5E21"/>
    <w:rsid w:val="003B7395"/>
    <w:rsid w:val="003B77D4"/>
    <w:rsid w:val="003B7DC1"/>
    <w:rsid w:val="003C074E"/>
    <w:rsid w:val="003C3E44"/>
    <w:rsid w:val="003C428D"/>
    <w:rsid w:val="003C4870"/>
    <w:rsid w:val="003C6CFC"/>
    <w:rsid w:val="003C6EBA"/>
    <w:rsid w:val="003C724F"/>
    <w:rsid w:val="003D0AEB"/>
    <w:rsid w:val="003D26C6"/>
    <w:rsid w:val="003D27FA"/>
    <w:rsid w:val="003D3150"/>
    <w:rsid w:val="003D317D"/>
    <w:rsid w:val="003D362C"/>
    <w:rsid w:val="003D600E"/>
    <w:rsid w:val="003D6C74"/>
    <w:rsid w:val="003D7CF4"/>
    <w:rsid w:val="003E07B1"/>
    <w:rsid w:val="003E1EEC"/>
    <w:rsid w:val="003E38F0"/>
    <w:rsid w:val="003F2677"/>
    <w:rsid w:val="003F3473"/>
    <w:rsid w:val="003F4A2E"/>
    <w:rsid w:val="003F68B7"/>
    <w:rsid w:val="003F6A40"/>
    <w:rsid w:val="003F7CA7"/>
    <w:rsid w:val="00400CEC"/>
    <w:rsid w:val="00401893"/>
    <w:rsid w:val="004028B4"/>
    <w:rsid w:val="00402BEE"/>
    <w:rsid w:val="00402E3B"/>
    <w:rsid w:val="004038F2"/>
    <w:rsid w:val="00403B5B"/>
    <w:rsid w:val="004047B1"/>
    <w:rsid w:val="004051D0"/>
    <w:rsid w:val="004070C0"/>
    <w:rsid w:val="00407936"/>
    <w:rsid w:val="004107BF"/>
    <w:rsid w:val="0041410C"/>
    <w:rsid w:val="00414FE3"/>
    <w:rsid w:val="00416783"/>
    <w:rsid w:val="00416D9D"/>
    <w:rsid w:val="00417545"/>
    <w:rsid w:val="00417555"/>
    <w:rsid w:val="004175A4"/>
    <w:rsid w:val="004205EC"/>
    <w:rsid w:val="00420FCE"/>
    <w:rsid w:val="004211CD"/>
    <w:rsid w:val="00421EF3"/>
    <w:rsid w:val="00423776"/>
    <w:rsid w:val="0043087E"/>
    <w:rsid w:val="00431107"/>
    <w:rsid w:val="004322A2"/>
    <w:rsid w:val="0043239C"/>
    <w:rsid w:val="00433F5A"/>
    <w:rsid w:val="004344DA"/>
    <w:rsid w:val="004348C7"/>
    <w:rsid w:val="004364C7"/>
    <w:rsid w:val="00436F76"/>
    <w:rsid w:val="00440173"/>
    <w:rsid w:val="00441401"/>
    <w:rsid w:val="004418B0"/>
    <w:rsid w:val="00443604"/>
    <w:rsid w:val="00446BC6"/>
    <w:rsid w:val="00450F48"/>
    <w:rsid w:val="0045104C"/>
    <w:rsid w:val="004518A3"/>
    <w:rsid w:val="00453D0E"/>
    <w:rsid w:val="004546A6"/>
    <w:rsid w:val="0045539F"/>
    <w:rsid w:val="00456AA4"/>
    <w:rsid w:val="00457AF9"/>
    <w:rsid w:val="00460FF6"/>
    <w:rsid w:val="00461E24"/>
    <w:rsid w:val="00462677"/>
    <w:rsid w:val="00463C15"/>
    <w:rsid w:val="004643E8"/>
    <w:rsid w:val="00464945"/>
    <w:rsid w:val="00467DA0"/>
    <w:rsid w:val="00471795"/>
    <w:rsid w:val="004717BD"/>
    <w:rsid w:val="00471F25"/>
    <w:rsid w:val="0047537C"/>
    <w:rsid w:val="004754E5"/>
    <w:rsid w:val="00476102"/>
    <w:rsid w:val="00476A8E"/>
    <w:rsid w:val="00476EFB"/>
    <w:rsid w:val="00477AF4"/>
    <w:rsid w:val="00477CBE"/>
    <w:rsid w:val="004807B4"/>
    <w:rsid w:val="0048206A"/>
    <w:rsid w:val="004845ED"/>
    <w:rsid w:val="00485B3E"/>
    <w:rsid w:val="00487AC8"/>
    <w:rsid w:val="004914F9"/>
    <w:rsid w:val="0049294A"/>
    <w:rsid w:val="00492B05"/>
    <w:rsid w:val="0049300A"/>
    <w:rsid w:val="0049392A"/>
    <w:rsid w:val="00493DF7"/>
    <w:rsid w:val="00494BE2"/>
    <w:rsid w:val="00495175"/>
    <w:rsid w:val="0049595B"/>
    <w:rsid w:val="00496128"/>
    <w:rsid w:val="00496FFB"/>
    <w:rsid w:val="004A20DF"/>
    <w:rsid w:val="004A2E6F"/>
    <w:rsid w:val="004A3303"/>
    <w:rsid w:val="004A3B6B"/>
    <w:rsid w:val="004A3D6E"/>
    <w:rsid w:val="004A51DF"/>
    <w:rsid w:val="004A5695"/>
    <w:rsid w:val="004B04A0"/>
    <w:rsid w:val="004B1021"/>
    <w:rsid w:val="004B27D6"/>
    <w:rsid w:val="004B3A5C"/>
    <w:rsid w:val="004C0612"/>
    <w:rsid w:val="004C14AE"/>
    <w:rsid w:val="004C17DD"/>
    <w:rsid w:val="004C3C2A"/>
    <w:rsid w:val="004C3CC3"/>
    <w:rsid w:val="004C4A11"/>
    <w:rsid w:val="004C51EE"/>
    <w:rsid w:val="004C60F9"/>
    <w:rsid w:val="004D18EE"/>
    <w:rsid w:val="004D1B87"/>
    <w:rsid w:val="004D26C3"/>
    <w:rsid w:val="004D2CA4"/>
    <w:rsid w:val="004D3614"/>
    <w:rsid w:val="004D3EF0"/>
    <w:rsid w:val="004D426D"/>
    <w:rsid w:val="004D6458"/>
    <w:rsid w:val="004D729F"/>
    <w:rsid w:val="004E002B"/>
    <w:rsid w:val="004E1F8C"/>
    <w:rsid w:val="004E2CA3"/>
    <w:rsid w:val="004E32AE"/>
    <w:rsid w:val="004E4379"/>
    <w:rsid w:val="004E4731"/>
    <w:rsid w:val="004E6496"/>
    <w:rsid w:val="004E66B7"/>
    <w:rsid w:val="004E66BA"/>
    <w:rsid w:val="004E70BF"/>
    <w:rsid w:val="004E78C0"/>
    <w:rsid w:val="004F2FD5"/>
    <w:rsid w:val="004F4602"/>
    <w:rsid w:val="004F530A"/>
    <w:rsid w:val="004F6CD2"/>
    <w:rsid w:val="00500CE1"/>
    <w:rsid w:val="00502519"/>
    <w:rsid w:val="00502DF2"/>
    <w:rsid w:val="00503677"/>
    <w:rsid w:val="00503D23"/>
    <w:rsid w:val="00505AC6"/>
    <w:rsid w:val="005068F5"/>
    <w:rsid w:val="0050707B"/>
    <w:rsid w:val="0050707D"/>
    <w:rsid w:val="0051068B"/>
    <w:rsid w:val="00512992"/>
    <w:rsid w:val="00512F19"/>
    <w:rsid w:val="00514DDC"/>
    <w:rsid w:val="00515549"/>
    <w:rsid w:val="00515AC5"/>
    <w:rsid w:val="00515C94"/>
    <w:rsid w:val="005167CB"/>
    <w:rsid w:val="0051696D"/>
    <w:rsid w:val="005174EF"/>
    <w:rsid w:val="00517611"/>
    <w:rsid w:val="00520546"/>
    <w:rsid w:val="0052151B"/>
    <w:rsid w:val="00521FFF"/>
    <w:rsid w:val="005226CF"/>
    <w:rsid w:val="0052376D"/>
    <w:rsid w:val="005267D8"/>
    <w:rsid w:val="00526F5A"/>
    <w:rsid w:val="00531F3B"/>
    <w:rsid w:val="00532D93"/>
    <w:rsid w:val="0053377C"/>
    <w:rsid w:val="00533C36"/>
    <w:rsid w:val="005350CC"/>
    <w:rsid w:val="00535440"/>
    <w:rsid w:val="00536699"/>
    <w:rsid w:val="00537505"/>
    <w:rsid w:val="0053760A"/>
    <w:rsid w:val="00541B6E"/>
    <w:rsid w:val="00541BC4"/>
    <w:rsid w:val="00541E31"/>
    <w:rsid w:val="00541F55"/>
    <w:rsid w:val="00542E1D"/>
    <w:rsid w:val="0054331E"/>
    <w:rsid w:val="00543742"/>
    <w:rsid w:val="005438A6"/>
    <w:rsid w:val="00543BC2"/>
    <w:rsid w:val="005446F3"/>
    <w:rsid w:val="00545C92"/>
    <w:rsid w:val="00546135"/>
    <w:rsid w:val="005461DC"/>
    <w:rsid w:val="00546888"/>
    <w:rsid w:val="00547076"/>
    <w:rsid w:val="00547465"/>
    <w:rsid w:val="00547786"/>
    <w:rsid w:val="00547D75"/>
    <w:rsid w:val="005501A2"/>
    <w:rsid w:val="005501D0"/>
    <w:rsid w:val="005508EE"/>
    <w:rsid w:val="00551A22"/>
    <w:rsid w:val="005533F5"/>
    <w:rsid w:val="00553AE9"/>
    <w:rsid w:val="00555424"/>
    <w:rsid w:val="00556811"/>
    <w:rsid w:val="00556BB8"/>
    <w:rsid w:val="005649A5"/>
    <w:rsid w:val="0057026B"/>
    <w:rsid w:val="005735E7"/>
    <w:rsid w:val="0057462F"/>
    <w:rsid w:val="00574CF5"/>
    <w:rsid w:val="005804A8"/>
    <w:rsid w:val="00581859"/>
    <w:rsid w:val="0058354C"/>
    <w:rsid w:val="00585828"/>
    <w:rsid w:val="005872AD"/>
    <w:rsid w:val="00587780"/>
    <w:rsid w:val="00587D42"/>
    <w:rsid w:val="00590605"/>
    <w:rsid w:val="00590B0D"/>
    <w:rsid w:val="00591770"/>
    <w:rsid w:val="0059429E"/>
    <w:rsid w:val="00595EB6"/>
    <w:rsid w:val="005962A2"/>
    <w:rsid w:val="00597900"/>
    <w:rsid w:val="00597F5B"/>
    <w:rsid w:val="005A070C"/>
    <w:rsid w:val="005A0AC3"/>
    <w:rsid w:val="005A16EB"/>
    <w:rsid w:val="005A1AF8"/>
    <w:rsid w:val="005A447E"/>
    <w:rsid w:val="005A47C1"/>
    <w:rsid w:val="005A50C1"/>
    <w:rsid w:val="005A551E"/>
    <w:rsid w:val="005A667D"/>
    <w:rsid w:val="005B065E"/>
    <w:rsid w:val="005B2A21"/>
    <w:rsid w:val="005B61E1"/>
    <w:rsid w:val="005C0C02"/>
    <w:rsid w:val="005C0EAB"/>
    <w:rsid w:val="005C15BD"/>
    <w:rsid w:val="005C1886"/>
    <w:rsid w:val="005C3BF6"/>
    <w:rsid w:val="005C5A89"/>
    <w:rsid w:val="005D10CB"/>
    <w:rsid w:val="005D196F"/>
    <w:rsid w:val="005D345F"/>
    <w:rsid w:val="005D56E7"/>
    <w:rsid w:val="005D5DA9"/>
    <w:rsid w:val="005D64DA"/>
    <w:rsid w:val="005D6F90"/>
    <w:rsid w:val="005E0035"/>
    <w:rsid w:val="005E0486"/>
    <w:rsid w:val="005E09ED"/>
    <w:rsid w:val="005E2C80"/>
    <w:rsid w:val="005E3A31"/>
    <w:rsid w:val="005E475E"/>
    <w:rsid w:val="005E4E77"/>
    <w:rsid w:val="005E5224"/>
    <w:rsid w:val="005E5FAC"/>
    <w:rsid w:val="005E6A83"/>
    <w:rsid w:val="005E7862"/>
    <w:rsid w:val="005E78B3"/>
    <w:rsid w:val="005F221C"/>
    <w:rsid w:val="005F3134"/>
    <w:rsid w:val="005F3F39"/>
    <w:rsid w:val="005F7814"/>
    <w:rsid w:val="005F7BD0"/>
    <w:rsid w:val="00603C42"/>
    <w:rsid w:val="00605028"/>
    <w:rsid w:val="00607707"/>
    <w:rsid w:val="00611327"/>
    <w:rsid w:val="0061265D"/>
    <w:rsid w:val="00613826"/>
    <w:rsid w:val="00613D51"/>
    <w:rsid w:val="00613F1C"/>
    <w:rsid w:val="00614F1A"/>
    <w:rsid w:val="00615D2E"/>
    <w:rsid w:val="00621165"/>
    <w:rsid w:val="0062119D"/>
    <w:rsid w:val="0062177E"/>
    <w:rsid w:val="00623F4A"/>
    <w:rsid w:val="00626036"/>
    <w:rsid w:val="00627160"/>
    <w:rsid w:val="0063057E"/>
    <w:rsid w:val="006327CD"/>
    <w:rsid w:val="00634185"/>
    <w:rsid w:val="00634731"/>
    <w:rsid w:val="00634B2A"/>
    <w:rsid w:val="006357F5"/>
    <w:rsid w:val="00640950"/>
    <w:rsid w:val="006451E1"/>
    <w:rsid w:val="0065011C"/>
    <w:rsid w:val="00650197"/>
    <w:rsid w:val="00650EE9"/>
    <w:rsid w:val="00651001"/>
    <w:rsid w:val="006519C4"/>
    <w:rsid w:val="00653035"/>
    <w:rsid w:val="00654898"/>
    <w:rsid w:val="00655AC9"/>
    <w:rsid w:val="00656D99"/>
    <w:rsid w:val="00660802"/>
    <w:rsid w:val="00660AB3"/>
    <w:rsid w:val="00661517"/>
    <w:rsid w:val="0066191B"/>
    <w:rsid w:val="006639EE"/>
    <w:rsid w:val="00665193"/>
    <w:rsid w:val="0066602B"/>
    <w:rsid w:val="006670C0"/>
    <w:rsid w:val="00667814"/>
    <w:rsid w:val="00667C14"/>
    <w:rsid w:val="006700D3"/>
    <w:rsid w:val="0067059D"/>
    <w:rsid w:val="00671187"/>
    <w:rsid w:val="006711A1"/>
    <w:rsid w:val="00672435"/>
    <w:rsid w:val="00672B82"/>
    <w:rsid w:val="00672E74"/>
    <w:rsid w:val="0067324B"/>
    <w:rsid w:val="00673811"/>
    <w:rsid w:val="006742A4"/>
    <w:rsid w:val="0067449E"/>
    <w:rsid w:val="00674C62"/>
    <w:rsid w:val="00674FFC"/>
    <w:rsid w:val="00675A93"/>
    <w:rsid w:val="00680E2E"/>
    <w:rsid w:val="00681DBA"/>
    <w:rsid w:val="00683E53"/>
    <w:rsid w:val="00684408"/>
    <w:rsid w:val="00684AAC"/>
    <w:rsid w:val="0068577B"/>
    <w:rsid w:val="00685A31"/>
    <w:rsid w:val="00686124"/>
    <w:rsid w:val="006879F9"/>
    <w:rsid w:val="00692F0A"/>
    <w:rsid w:val="00694F13"/>
    <w:rsid w:val="0069602C"/>
    <w:rsid w:val="006A14A0"/>
    <w:rsid w:val="006A2A29"/>
    <w:rsid w:val="006A4017"/>
    <w:rsid w:val="006A4C6A"/>
    <w:rsid w:val="006A5CE5"/>
    <w:rsid w:val="006A5CF7"/>
    <w:rsid w:val="006B12A0"/>
    <w:rsid w:val="006B1460"/>
    <w:rsid w:val="006B1D85"/>
    <w:rsid w:val="006B4028"/>
    <w:rsid w:val="006B4633"/>
    <w:rsid w:val="006B55AC"/>
    <w:rsid w:val="006B561B"/>
    <w:rsid w:val="006B732F"/>
    <w:rsid w:val="006C0047"/>
    <w:rsid w:val="006C0418"/>
    <w:rsid w:val="006C2F23"/>
    <w:rsid w:val="006C32BF"/>
    <w:rsid w:val="006C3B31"/>
    <w:rsid w:val="006C42DB"/>
    <w:rsid w:val="006C4603"/>
    <w:rsid w:val="006C4E5A"/>
    <w:rsid w:val="006C5D75"/>
    <w:rsid w:val="006C751E"/>
    <w:rsid w:val="006C759D"/>
    <w:rsid w:val="006C78CB"/>
    <w:rsid w:val="006C7F29"/>
    <w:rsid w:val="006D0166"/>
    <w:rsid w:val="006D179A"/>
    <w:rsid w:val="006D212E"/>
    <w:rsid w:val="006D7EB6"/>
    <w:rsid w:val="006E0AAF"/>
    <w:rsid w:val="006E0B21"/>
    <w:rsid w:val="006E17FF"/>
    <w:rsid w:val="006E1A56"/>
    <w:rsid w:val="006E3580"/>
    <w:rsid w:val="006E3608"/>
    <w:rsid w:val="006E3850"/>
    <w:rsid w:val="006E4F6E"/>
    <w:rsid w:val="006E515A"/>
    <w:rsid w:val="006E71E4"/>
    <w:rsid w:val="006F083C"/>
    <w:rsid w:val="006F293E"/>
    <w:rsid w:val="006F2995"/>
    <w:rsid w:val="006F4BBF"/>
    <w:rsid w:val="006F58D1"/>
    <w:rsid w:val="006F7C23"/>
    <w:rsid w:val="007030A3"/>
    <w:rsid w:val="00703E3A"/>
    <w:rsid w:val="007046EC"/>
    <w:rsid w:val="00705CFB"/>
    <w:rsid w:val="00706614"/>
    <w:rsid w:val="00706FFF"/>
    <w:rsid w:val="00710DD3"/>
    <w:rsid w:val="00711049"/>
    <w:rsid w:val="007114D6"/>
    <w:rsid w:val="00712C7E"/>
    <w:rsid w:val="00712D04"/>
    <w:rsid w:val="00712F89"/>
    <w:rsid w:val="00714A07"/>
    <w:rsid w:val="00722B3A"/>
    <w:rsid w:val="00723655"/>
    <w:rsid w:val="00723859"/>
    <w:rsid w:val="00726237"/>
    <w:rsid w:val="00726A53"/>
    <w:rsid w:val="007278C9"/>
    <w:rsid w:val="0073064C"/>
    <w:rsid w:val="007307B0"/>
    <w:rsid w:val="00731604"/>
    <w:rsid w:val="00731ED2"/>
    <w:rsid w:val="00732121"/>
    <w:rsid w:val="00732241"/>
    <w:rsid w:val="00733F4D"/>
    <w:rsid w:val="0073415A"/>
    <w:rsid w:val="00734C6B"/>
    <w:rsid w:val="00734CBB"/>
    <w:rsid w:val="00734D0B"/>
    <w:rsid w:val="0073504E"/>
    <w:rsid w:val="007359E0"/>
    <w:rsid w:val="00741236"/>
    <w:rsid w:val="0074137A"/>
    <w:rsid w:val="00742066"/>
    <w:rsid w:val="00743F7A"/>
    <w:rsid w:val="00744312"/>
    <w:rsid w:val="00744AF7"/>
    <w:rsid w:val="007454C6"/>
    <w:rsid w:val="00746BBC"/>
    <w:rsid w:val="00747C69"/>
    <w:rsid w:val="00751B60"/>
    <w:rsid w:val="00756724"/>
    <w:rsid w:val="00756C7E"/>
    <w:rsid w:val="00761234"/>
    <w:rsid w:val="00761D02"/>
    <w:rsid w:val="00761FCC"/>
    <w:rsid w:val="00762BC8"/>
    <w:rsid w:val="00762EEE"/>
    <w:rsid w:val="007642E7"/>
    <w:rsid w:val="007731B2"/>
    <w:rsid w:val="00773492"/>
    <w:rsid w:val="007761D1"/>
    <w:rsid w:val="00776631"/>
    <w:rsid w:val="00777429"/>
    <w:rsid w:val="00777FDA"/>
    <w:rsid w:val="00780909"/>
    <w:rsid w:val="00780DE5"/>
    <w:rsid w:val="00780E68"/>
    <w:rsid w:val="00781A75"/>
    <w:rsid w:val="007821D3"/>
    <w:rsid w:val="00782A74"/>
    <w:rsid w:val="0078544D"/>
    <w:rsid w:val="0078667A"/>
    <w:rsid w:val="00786EF9"/>
    <w:rsid w:val="00786F1F"/>
    <w:rsid w:val="0079172D"/>
    <w:rsid w:val="00793192"/>
    <w:rsid w:val="00793299"/>
    <w:rsid w:val="00795939"/>
    <w:rsid w:val="00796B56"/>
    <w:rsid w:val="007A070D"/>
    <w:rsid w:val="007A0E16"/>
    <w:rsid w:val="007A0E8B"/>
    <w:rsid w:val="007A344B"/>
    <w:rsid w:val="007A49C4"/>
    <w:rsid w:val="007A63CF"/>
    <w:rsid w:val="007A7201"/>
    <w:rsid w:val="007B0EAC"/>
    <w:rsid w:val="007B16E9"/>
    <w:rsid w:val="007B1873"/>
    <w:rsid w:val="007B1A2A"/>
    <w:rsid w:val="007B24BA"/>
    <w:rsid w:val="007B2510"/>
    <w:rsid w:val="007B430E"/>
    <w:rsid w:val="007B46BB"/>
    <w:rsid w:val="007B5175"/>
    <w:rsid w:val="007B56FB"/>
    <w:rsid w:val="007C1134"/>
    <w:rsid w:val="007C35C2"/>
    <w:rsid w:val="007C49D2"/>
    <w:rsid w:val="007C69F6"/>
    <w:rsid w:val="007C76EC"/>
    <w:rsid w:val="007C7BC5"/>
    <w:rsid w:val="007D0149"/>
    <w:rsid w:val="007D1455"/>
    <w:rsid w:val="007D1602"/>
    <w:rsid w:val="007D2D2A"/>
    <w:rsid w:val="007D3679"/>
    <w:rsid w:val="007D46A5"/>
    <w:rsid w:val="007D4CEF"/>
    <w:rsid w:val="007D5E2F"/>
    <w:rsid w:val="007E012C"/>
    <w:rsid w:val="007E0F86"/>
    <w:rsid w:val="007E1F23"/>
    <w:rsid w:val="007E254D"/>
    <w:rsid w:val="007E33AC"/>
    <w:rsid w:val="007E377E"/>
    <w:rsid w:val="007E3998"/>
    <w:rsid w:val="007E3BA5"/>
    <w:rsid w:val="007E40D9"/>
    <w:rsid w:val="007E4AE2"/>
    <w:rsid w:val="007F02BB"/>
    <w:rsid w:val="007F1CDC"/>
    <w:rsid w:val="007F3F19"/>
    <w:rsid w:val="007F7FC9"/>
    <w:rsid w:val="00800888"/>
    <w:rsid w:val="00800B8C"/>
    <w:rsid w:val="00800F3C"/>
    <w:rsid w:val="008028EC"/>
    <w:rsid w:val="00803508"/>
    <w:rsid w:val="00803848"/>
    <w:rsid w:val="00805943"/>
    <w:rsid w:val="00807881"/>
    <w:rsid w:val="00810405"/>
    <w:rsid w:val="00810C22"/>
    <w:rsid w:val="00811389"/>
    <w:rsid w:val="00812405"/>
    <w:rsid w:val="0081488E"/>
    <w:rsid w:val="00816061"/>
    <w:rsid w:val="008177A8"/>
    <w:rsid w:val="0081789D"/>
    <w:rsid w:val="00817EBB"/>
    <w:rsid w:val="0082111E"/>
    <w:rsid w:val="008212C4"/>
    <w:rsid w:val="008216A0"/>
    <w:rsid w:val="00822326"/>
    <w:rsid w:val="0082243E"/>
    <w:rsid w:val="0082270D"/>
    <w:rsid w:val="00824E84"/>
    <w:rsid w:val="0082519A"/>
    <w:rsid w:val="00827346"/>
    <w:rsid w:val="00830D65"/>
    <w:rsid w:val="0083116C"/>
    <w:rsid w:val="00832AC3"/>
    <w:rsid w:val="00833BC7"/>
    <w:rsid w:val="00834A7F"/>
    <w:rsid w:val="00836691"/>
    <w:rsid w:val="0084005A"/>
    <w:rsid w:val="0084018D"/>
    <w:rsid w:val="0084172B"/>
    <w:rsid w:val="00842E7C"/>
    <w:rsid w:val="0084345D"/>
    <w:rsid w:val="00844BCF"/>
    <w:rsid w:val="00847339"/>
    <w:rsid w:val="008478D5"/>
    <w:rsid w:val="00852671"/>
    <w:rsid w:val="00854A13"/>
    <w:rsid w:val="008552D4"/>
    <w:rsid w:val="0085532C"/>
    <w:rsid w:val="008613FE"/>
    <w:rsid w:val="00864C56"/>
    <w:rsid w:val="00866B7D"/>
    <w:rsid w:val="00866BAE"/>
    <w:rsid w:val="00866D62"/>
    <w:rsid w:val="008726CA"/>
    <w:rsid w:val="00873B8C"/>
    <w:rsid w:val="0087461C"/>
    <w:rsid w:val="00874FF3"/>
    <w:rsid w:val="00875058"/>
    <w:rsid w:val="008751E7"/>
    <w:rsid w:val="00875CDE"/>
    <w:rsid w:val="008760CE"/>
    <w:rsid w:val="008776EB"/>
    <w:rsid w:val="00880DF0"/>
    <w:rsid w:val="0088196E"/>
    <w:rsid w:val="00881A69"/>
    <w:rsid w:val="008824D5"/>
    <w:rsid w:val="0088490E"/>
    <w:rsid w:val="00884A03"/>
    <w:rsid w:val="00885988"/>
    <w:rsid w:val="00886DE2"/>
    <w:rsid w:val="00887397"/>
    <w:rsid w:val="008907D2"/>
    <w:rsid w:val="008924FE"/>
    <w:rsid w:val="00893B68"/>
    <w:rsid w:val="008954B7"/>
    <w:rsid w:val="00895EF2"/>
    <w:rsid w:val="008A2527"/>
    <w:rsid w:val="008A497A"/>
    <w:rsid w:val="008A6675"/>
    <w:rsid w:val="008A7E78"/>
    <w:rsid w:val="008B1A2B"/>
    <w:rsid w:val="008B22B8"/>
    <w:rsid w:val="008B2A61"/>
    <w:rsid w:val="008B5100"/>
    <w:rsid w:val="008B78EA"/>
    <w:rsid w:val="008C13F8"/>
    <w:rsid w:val="008C1FEE"/>
    <w:rsid w:val="008C29DB"/>
    <w:rsid w:val="008C42D4"/>
    <w:rsid w:val="008C4C92"/>
    <w:rsid w:val="008C6165"/>
    <w:rsid w:val="008C79AB"/>
    <w:rsid w:val="008D04B0"/>
    <w:rsid w:val="008D07A5"/>
    <w:rsid w:val="008D1437"/>
    <w:rsid w:val="008D219D"/>
    <w:rsid w:val="008D248C"/>
    <w:rsid w:val="008D284B"/>
    <w:rsid w:val="008D4623"/>
    <w:rsid w:val="008D5742"/>
    <w:rsid w:val="008D5BEA"/>
    <w:rsid w:val="008D5D20"/>
    <w:rsid w:val="008D6826"/>
    <w:rsid w:val="008D6DCC"/>
    <w:rsid w:val="008E035F"/>
    <w:rsid w:val="008E094E"/>
    <w:rsid w:val="008E0BD6"/>
    <w:rsid w:val="008E1449"/>
    <w:rsid w:val="008E1FC4"/>
    <w:rsid w:val="008E39C8"/>
    <w:rsid w:val="008E3B52"/>
    <w:rsid w:val="008E4781"/>
    <w:rsid w:val="008E5930"/>
    <w:rsid w:val="008E5C81"/>
    <w:rsid w:val="008F0799"/>
    <w:rsid w:val="008F0BD1"/>
    <w:rsid w:val="008F194F"/>
    <w:rsid w:val="008F26CD"/>
    <w:rsid w:val="008F3685"/>
    <w:rsid w:val="008F37C1"/>
    <w:rsid w:val="008F3FC2"/>
    <w:rsid w:val="008F6339"/>
    <w:rsid w:val="008F6EDA"/>
    <w:rsid w:val="008F7C24"/>
    <w:rsid w:val="00900C28"/>
    <w:rsid w:val="00902053"/>
    <w:rsid w:val="00903D26"/>
    <w:rsid w:val="00904530"/>
    <w:rsid w:val="009046D9"/>
    <w:rsid w:val="00904840"/>
    <w:rsid w:val="00904DAC"/>
    <w:rsid w:val="00906912"/>
    <w:rsid w:val="00906FA9"/>
    <w:rsid w:val="0090701D"/>
    <w:rsid w:val="009071E7"/>
    <w:rsid w:val="00911131"/>
    <w:rsid w:val="00912AF5"/>
    <w:rsid w:val="00914AB6"/>
    <w:rsid w:val="009157D7"/>
    <w:rsid w:val="00916C48"/>
    <w:rsid w:val="00920CC2"/>
    <w:rsid w:val="00920DE2"/>
    <w:rsid w:val="00921CC4"/>
    <w:rsid w:val="00921D01"/>
    <w:rsid w:val="00923928"/>
    <w:rsid w:val="00924431"/>
    <w:rsid w:val="00926363"/>
    <w:rsid w:val="00926717"/>
    <w:rsid w:val="00926BC9"/>
    <w:rsid w:val="00926D26"/>
    <w:rsid w:val="00930A7B"/>
    <w:rsid w:val="0093115F"/>
    <w:rsid w:val="009342C4"/>
    <w:rsid w:val="0093523E"/>
    <w:rsid w:val="00935410"/>
    <w:rsid w:val="009354EC"/>
    <w:rsid w:val="00935FA1"/>
    <w:rsid w:val="009360C3"/>
    <w:rsid w:val="009409A8"/>
    <w:rsid w:val="009410F1"/>
    <w:rsid w:val="00941F3D"/>
    <w:rsid w:val="00943882"/>
    <w:rsid w:val="00943C90"/>
    <w:rsid w:val="00943FE7"/>
    <w:rsid w:val="00944193"/>
    <w:rsid w:val="00944B01"/>
    <w:rsid w:val="00944C9C"/>
    <w:rsid w:val="00945B9C"/>
    <w:rsid w:val="00947392"/>
    <w:rsid w:val="0095217F"/>
    <w:rsid w:val="00955832"/>
    <w:rsid w:val="00957577"/>
    <w:rsid w:val="00961617"/>
    <w:rsid w:val="009618AC"/>
    <w:rsid w:val="0096343E"/>
    <w:rsid w:val="00965A3A"/>
    <w:rsid w:val="00966B3A"/>
    <w:rsid w:val="009715E1"/>
    <w:rsid w:val="00971E88"/>
    <w:rsid w:val="009722AA"/>
    <w:rsid w:val="00972624"/>
    <w:rsid w:val="00972D7F"/>
    <w:rsid w:val="009739F2"/>
    <w:rsid w:val="00974BF6"/>
    <w:rsid w:val="009750F6"/>
    <w:rsid w:val="00975CBF"/>
    <w:rsid w:val="00980EF2"/>
    <w:rsid w:val="009828C7"/>
    <w:rsid w:val="00982CE2"/>
    <w:rsid w:val="00983ABE"/>
    <w:rsid w:val="009849A7"/>
    <w:rsid w:val="00984C60"/>
    <w:rsid w:val="009865C2"/>
    <w:rsid w:val="00986944"/>
    <w:rsid w:val="009916A1"/>
    <w:rsid w:val="00994E53"/>
    <w:rsid w:val="00994EE8"/>
    <w:rsid w:val="00996429"/>
    <w:rsid w:val="009967BC"/>
    <w:rsid w:val="00997BC9"/>
    <w:rsid w:val="009A1CF1"/>
    <w:rsid w:val="009A2463"/>
    <w:rsid w:val="009A2C56"/>
    <w:rsid w:val="009A4012"/>
    <w:rsid w:val="009A4369"/>
    <w:rsid w:val="009A4878"/>
    <w:rsid w:val="009A5EB0"/>
    <w:rsid w:val="009A6105"/>
    <w:rsid w:val="009A68FA"/>
    <w:rsid w:val="009A71B8"/>
    <w:rsid w:val="009A7849"/>
    <w:rsid w:val="009B0893"/>
    <w:rsid w:val="009B0B81"/>
    <w:rsid w:val="009B39B6"/>
    <w:rsid w:val="009B3C3A"/>
    <w:rsid w:val="009B3FB4"/>
    <w:rsid w:val="009B41BB"/>
    <w:rsid w:val="009B5662"/>
    <w:rsid w:val="009B68A6"/>
    <w:rsid w:val="009B7E20"/>
    <w:rsid w:val="009C1A45"/>
    <w:rsid w:val="009C1EAB"/>
    <w:rsid w:val="009C3153"/>
    <w:rsid w:val="009C627B"/>
    <w:rsid w:val="009C6E89"/>
    <w:rsid w:val="009D0D85"/>
    <w:rsid w:val="009D6FD6"/>
    <w:rsid w:val="009E100C"/>
    <w:rsid w:val="009E1D97"/>
    <w:rsid w:val="009E1DBC"/>
    <w:rsid w:val="009E33C1"/>
    <w:rsid w:val="009E550C"/>
    <w:rsid w:val="009E5E79"/>
    <w:rsid w:val="009E6BED"/>
    <w:rsid w:val="009E71BB"/>
    <w:rsid w:val="009E774F"/>
    <w:rsid w:val="009F187F"/>
    <w:rsid w:val="009F2E36"/>
    <w:rsid w:val="009F3D8F"/>
    <w:rsid w:val="009F4AF9"/>
    <w:rsid w:val="009F6189"/>
    <w:rsid w:val="009F6F49"/>
    <w:rsid w:val="009F7081"/>
    <w:rsid w:val="009F79FA"/>
    <w:rsid w:val="009F7FA0"/>
    <w:rsid w:val="00A008AD"/>
    <w:rsid w:val="00A0178A"/>
    <w:rsid w:val="00A02DFE"/>
    <w:rsid w:val="00A04727"/>
    <w:rsid w:val="00A047EB"/>
    <w:rsid w:val="00A072FB"/>
    <w:rsid w:val="00A1056F"/>
    <w:rsid w:val="00A1168D"/>
    <w:rsid w:val="00A11EA7"/>
    <w:rsid w:val="00A1293E"/>
    <w:rsid w:val="00A12C17"/>
    <w:rsid w:val="00A12CAA"/>
    <w:rsid w:val="00A15857"/>
    <w:rsid w:val="00A20EAF"/>
    <w:rsid w:val="00A21852"/>
    <w:rsid w:val="00A249E2"/>
    <w:rsid w:val="00A25039"/>
    <w:rsid w:val="00A25573"/>
    <w:rsid w:val="00A25F00"/>
    <w:rsid w:val="00A276C1"/>
    <w:rsid w:val="00A31507"/>
    <w:rsid w:val="00A32FFF"/>
    <w:rsid w:val="00A33DBC"/>
    <w:rsid w:val="00A34704"/>
    <w:rsid w:val="00A369AE"/>
    <w:rsid w:val="00A36C03"/>
    <w:rsid w:val="00A3745D"/>
    <w:rsid w:val="00A374AA"/>
    <w:rsid w:val="00A408AE"/>
    <w:rsid w:val="00A420BA"/>
    <w:rsid w:val="00A43C9E"/>
    <w:rsid w:val="00A441B8"/>
    <w:rsid w:val="00A46040"/>
    <w:rsid w:val="00A518FE"/>
    <w:rsid w:val="00A51A3F"/>
    <w:rsid w:val="00A53BE4"/>
    <w:rsid w:val="00A540FF"/>
    <w:rsid w:val="00A548DD"/>
    <w:rsid w:val="00A5504F"/>
    <w:rsid w:val="00A571F2"/>
    <w:rsid w:val="00A574E8"/>
    <w:rsid w:val="00A60351"/>
    <w:rsid w:val="00A60831"/>
    <w:rsid w:val="00A60969"/>
    <w:rsid w:val="00A6264E"/>
    <w:rsid w:val="00A62D48"/>
    <w:rsid w:val="00A63DDC"/>
    <w:rsid w:val="00A70245"/>
    <w:rsid w:val="00A714B7"/>
    <w:rsid w:val="00A72F8E"/>
    <w:rsid w:val="00A739C0"/>
    <w:rsid w:val="00A740AC"/>
    <w:rsid w:val="00A75658"/>
    <w:rsid w:val="00A75F56"/>
    <w:rsid w:val="00A76D38"/>
    <w:rsid w:val="00A77DAA"/>
    <w:rsid w:val="00A77E1C"/>
    <w:rsid w:val="00A8134F"/>
    <w:rsid w:val="00A845DB"/>
    <w:rsid w:val="00A85468"/>
    <w:rsid w:val="00A85F80"/>
    <w:rsid w:val="00A86C59"/>
    <w:rsid w:val="00A86DA8"/>
    <w:rsid w:val="00A9146F"/>
    <w:rsid w:val="00A920AF"/>
    <w:rsid w:val="00A921A6"/>
    <w:rsid w:val="00A934FB"/>
    <w:rsid w:val="00A93F64"/>
    <w:rsid w:val="00A95533"/>
    <w:rsid w:val="00A95DA1"/>
    <w:rsid w:val="00A9650C"/>
    <w:rsid w:val="00AA148C"/>
    <w:rsid w:val="00AA305C"/>
    <w:rsid w:val="00AA4988"/>
    <w:rsid w:val="00AA612D"/>
    <w:rsid w:val="00AA7A93"/>
    <w:rsid w:val="00AB0A88"/>
    <w:rsid w:val="00AB1C1D"/>
    <w:rsid w:val="00AB4AE7"/>
    <w:rsid w:val="00AB5235"/>
    <w:rsid w:val="00AB74ED"/>
    <w:rsid w:val="00AB7957"/>
    <w:rsid w:val="00AC01E3"/>
    <w:rsid w:val="00AC042C"/>
    <w:rsid w:val="00AC2A3F"/>
    <w:rsid w:val="00AC3D83"/>
    <w:rsid w:val="00AC4635"/>
    <w:rsid w:val="00AC6080"/>
    <w:rsid w:val="00AD0A6F"/>
    <w:rsid w:val="00AD4425"/>
    <w:rsid w:val="00AD692E"/>
    <w:rsid w:val="00AD702C"/>
    <w:rsid w:val="00AD7AF6"/>
    <w:rsid w:val="00AD7E54"/>
    <w:rsid w:val="00AD7FF9"/>
    <w:rsid w:val="00AE0409"/>
    <w:rsid w:val="00AE0C05"/>
    <w:rsid w:val="00AE0E8D"/>
    <w:rsid w:val="00AE13FF"/>
    <w:rsid w:val="00AE1B7B"/>
    <w:rsid w:val="00AE24E7"/>
    <w:rsid w:val="00AE3B33"/>
    <w:rsid w:val="00AE6CE2"/>
    <w:rsid w:val="00AE76D2"/>
    <w:rsid w:val="00AF1CC4"/>
    <w:rsid w:val="00AF22CE"/>
    <w:rsid w:val="00AF346B"/>
    <w:rsid w:val="00AF509C"/>
    <w:rsid w:val="00B00B7A"/>
    <w:rsid w:val="00B02B3B"/>
    <w:rsid w:val="00B04109"/>
    <w:rsid w:val="00B06E5A"/>
    <w:rsid w:val="00B104B8"/>
    <w:rsid w:val="00B10B61"/>
    <w:rsid w:val="00B12107"/>
    <w:rsid w:val="00B131C5"/>
    <w:rsid w:val="00B1330B"/>
    <w:rsid w:val="00B14438"/>
    <w:rsid w:val="00B14D23"/>
    <w:rsid w:val="00B14E44"/>
    <w:rsid w:val="00B15A3A"/>
    <w:rsid w:val="00B170F5"/>
    <w:rsid w:val="00B172E5"/>
    <w:rsid w:val="00B23784"/>
    <w:rsid w:val="00B2379F"/>
    <w:rsid w:val="00B261E9"/>
    <w:rsid w:val="00B26278"/>
    <w:rsid w:val="00B262DB"/>
    <w:rsid w:val="00B30B2D"/>
    <w:rsid w:val="00B32C8F"/>
    <w:rsid w:val="00B3345E"/>
    <w:rsid w:val="00B3602F"/>
    <w:rsid w:val="00B362AD"/>
    <w:rsid w:val="00B37F3E"/>
    <w:rsid w:val="00B400FF"/>
    <w:rsid w:val="00B41C99"/>
    <w:rsid w:val="00B42D1A"/>
    <w:rsid w:val="00B44276"/>
    <w:rsid w:val="00B443F6"/>
    <w:rsid w:val="00B44E40"/>
    <w:rsid w:val="00B44EA3"/>
    <w:rsid w:val="00B45D41"/>
    <w:rsid w:val="00B471D8"/>
    <w:rsid w:val="00B47241"/>
    <w:rsid w:val="00B4793D"/>
    <w:rsid w:val="00B515D6"/>
    <w:rsid w:val="00B51C27"/>
    <w:rsid w:val="00B522F3"/>
    <w:rsid w:val="00B574CB"/>
    <w:rsid w:val="00B61142"/>
    <w:rsid w:val="00B611E6"/>
    <w:rsid w:val="00B61549"/>
    <w:rsid w:val="00B61655"/>
    <w:rsid w:val="00B6224E"/>
    <w:rsid w:val="00B63859"/>
    <w:rsid w:val="00B64CD9"/>
    <w:rsid w:val="00B66101"/>
    <w:rsid w:val="00B678C7"/>
    <w:rsid w:val="00B7003D"/>
    <w:rsid w:val="00B7140E"/>
    <w:rsid w:val="00B715E0"/>
    <w:rsid w:val="00B7187C"/>
    <w:rsid w:val="00B736C0"/>
    <w:rsid w:val="00B73E9E"/>
    <w:rsid w:val="00B743BC"/>
    <w:rsid w:val="00B77F41"/>
    <w:rsid w:val="00B8166F"/>
    <w:rsid w:val="00B81716"/>
    <w:rsid w:val="00B8435A"/>
    <w:rsid w:val="00B84693"/>
    <w:rsid w:val="00B84D76"/>
    <w:rsid w:val="00B859A4"/>
    <w:rsid w:val="00B874BA"/>
    <w:rsid w:val="00B90480"/>
    <w:rsid w:val="00B905B8"/>
    <w:rsid w:val="00B90993"/>
    <w:rsid w:val="00B933FC"/>
    <w:rsid w:val="00B9367E"/>
    <w:rsid w:val="00B93772"/>
    <w:rsid w:val="00B95242"/>
    <w:rsid w:val="00B97086"/>
    <w:rsid w:val="00B974D8"/>
    <w:rsid w:val="00B976FD"/>
    <w:rsid w:val="00B97933"/>
    <w:rsid w:val="00B97D87"/>
    <w:rsid w:val="00BA2AC5"/>
    <w:rsid w:val="00BA2E5F"/>
    <w:rsid w:val="00BA7BAE"/>
    <w:rsid w:val="00BA7E2C"/>
    <w:rsid w:val="00BB08EE"/>
    <w:rsid w:val="00BB0E7C"/>
    <w:rsid w:val="00BB2F80"/>
    <w:rsid w:val="00BB3012"/>
    <w:rsid w:val="00BB6230"/>
    <w:rsid w:val="00BC049D"/>
    <w:rsid w:val="00BC2E10"/>
    <w:rsid w:val="00BC3C22"/>
    <w:rsid w:val="00BC42B8"/>
    <w:rsid w:val="00BC56D5"/>
    <w:rsid w:val="00BC61F2"/>
    <w:rsid w:val="00BC6B69"/>
    <w:rsid w:val="00BC6EBD"/>
    <w:rsid w:val="00BC7522"/>
    <w:rsid w:val="00BD1845"/>
    <w:rsid w:val="00BD2C2D"/>
    <w:rsid w:val="00BD3D47"/>
    <w:rsid w:val="00BD41F1"/>
    <w:rsid w:val="00BD47DE"/>
    <w:rsid w:val="00BD4D84"/>
    <w:rsid w:val="00BD67D2"/>
    <w:rsid w:val="00BD7261"/>
    <w:rsid w:val="00BD72E6"/>
    <w:rsid w:val="00BE0079"/>
    <w:rsid w:val="00BE09FD"/>
    <w:rsid w:val="00BE50F3"/>
    <w:rsid w:val="00BE5894"/>
    <w:rsid w:val="00BE7030"/>
    <w:rsid w:val="00BF4B2B"/>
    <w:rsid w:val="00BF6657"/>
    <w:rsid w:val="00BF7867"/>
    <w:rsid w:val="00C0043D"/>
    <w:rsid w:val="00C036E2"/>
    <w:rsid w:val="00C05671"/>
    <w:rsid w:val="00C059D9"/>
    <w:rsid w:val="00C06A19"/>
    <w:rsid w:val="00C07407"/>
    <w:rsid w:val="00C07A69"/>
    <w:rsid w:val="00C1052E"/>
    <w:rsid w:val="00C105C8"/>
    <w:rsid w:val="00C12264"/>
    <w:rsid w:val="00C12998"/>
    <w:rsid w:val="00C129E3"/>
    <w:rsid w:val="00C13B38"/>
    <w:rsid w:val="00C13CD6"/>
    <w:rsid w:val="00C14137"/>
    <w:rsid w:val="00C14663"/>
    <w:rsid w:val="00C149D0"/>
    <w:rsid w:val="00C21128"/>
    <w:rsid w:val="00C21512"/>
    <w:rsid w:val="00C2195A"/>
    <w:rsid w:val="00C26715"/>
    <w:rsid w:val="00C26FA1"/>
    <w:rsid w:val="00C27341"/>
    <w:rsid w:val="00C30B8F"/>
    <w:rsid w:val="00C3256E"/>
    <w:rsid w:val="00C33755"/>
    <w:rsid w:val="00C35508"/>
    <w:rsid w:val="00C35884"/>
    <w:rsid w:val="00C422F9"/>
    <w:rsid w:val="00C436B6"/>
    <w:rsid w:val="00C446B0"/>
    <w:rsid w:val="00C446FE"/>
    <w:rsid w:val="00C4493B"/>
    <w:rsid w:val="00C45BC5"/>
    <w:rsid w:val="00C45C60"/>
    <w:rsid w:val="00C50BEF"/>
    <w:rsid w:val="00C50D2A"/>
    <w:rsid w:val="00C50F87"/>
    <w:rsid w:val="00C575F6"/>
    <w:rsid w:val="00C600CD"/>
    <w:rsid w:val="00C60BBC"/>
    <w:rsid w:val="00C612C5"/>
    <w:rsid w:val="00C6140A"/>
    <w:rsid w:val="00C64B82"/>
    <w:rsid w:val="00C64E5D"/>
    <w:rsid w:val="00C65350"/>
    <w:rsid w:val="00C65FE9"/>
    <w:rsid w:val="00C67AA2"/>
    <w:rsid w:val="00C67CF4"/>
    <w:rsid w:val="00C707A1"/>
    <w:rsid w:val="00C70C5B"/>
    <w:rsid w:val="00C70F24"/>
    <w:rsid w:val="00C71AE4"/>
    <w:rsid w:val="00C72185"/>
    <w:rsid w:val="00C733CA"/>
    <w:rsid w:val="00C73CCE"/>
    <w:rsid w:val="00C742F0"/>
    <w:rsid w:val="00C746C6"/>
    <w:rsid w:val="00C74BAC"/>
    <w:rsid w:val="00C74C67"/>
    <w:rsid w:val="00C75694"/>
    <w:rsid w:val="00C75ACB"/>
    <w:rsid w:val="00C7617E"/>
    <w:rsid w:val="00C7625E"/>
    <w:rsid w:val="00C7759B"/>
    <w:rsid w:val="00C776F4"/>
    <w:rsid w:val="00C808C7"/>
    <w:rsid w:val="00C81D99"/>
    <w:rsid w:val="00C826BB"/>
    <w:rsid w:val="00C8303F"/>
    <w:rsid w:val="00C84ADC"/>
    <w:rsid w:val="00C86D59"/>
    <w:rsid w:val="00C906E4"/>
    <w:rsid w:val="00C90839"/>
    <w:rsid w:val="00C90C20"/>
    <w:rsid w:val="00C92B19"/>
    <w:rsid w:val="00C92C65"/>
    <w:rsid w:val="00C943B4"/>
    <w:rsid w:val="00C9594F"/>
    <w:rsid w:val="00C95B1E"/>
    <w:rsid w:val="00C97FEA"/>
    <w:rsid w:val="00CA13FD"/>
    <w:rsid w:val="00CA1B0F"/>
    <w:rsid w:val="00CA2F23"/>
    <w:rsid w:val="00CA2FE3"/>
    <w:rsid w:val="00CA3076"/>
    <w:rsid w:val="00CA3CCB"/>
    <w:rsid w:val="00CA43C5"/>
    <w:rsid w:val="00CA4B04"/>
    <w:rsid w:val="00CB1CC2"/>
    <w:rsid w:val="00CB54F4"/>
    <w:rsid w:val="00CB5ACF"/>
    <w:rsid w:val="00CB61D7"/>
    <w:rsid w:val="00CB7CA9"/>
    <w:rsid w:val="00CB7E90"/>
    <w:rsid w:val="00CC0939"/>
    <w:rsid w:val="00CC0F12"/>
    <w:rsid w:val="00CC14CA"/>
    <w:rsid w:val="00CC3D08"/>
    <w:rsid w:val="00CC58C0"/>
    <w:rsid w:val="00CC7E39"/>
    <w:rsid w:val="00CD0490"/>
    <w:rsid w:val="00CD0BB8"/>
    <w:rsid w:val="00CD1499"/>
    <w:rsid w:val="00CD1F49"/>
    <w:rsid w:val="00CD29D9"/>
    <w:rsid w:val="00CD47D8"/>
    <w:rsid w:val="00CD4842"/>
    <w:rsid w:val="00CD5A73"/>
    <w:rsid w:val="00CD5F29"/>
    <w:rsid w:val="00CD7E7A"/>
    <w:rsid w:val="00CE037B"/>
    <w:rsid w:val="00CE0D7B"/>
    <w:rsid w:val="00CE1248"/>
    <w:rsid w:val="00CE22C0"/>
    <w:rsid w:val="00CE38CF"/>
    <w:rsid w:val="00CE486B"/>
    <w:rsid w:val="00CE4C53"/>
    <w:rsid w:val="00CE53F2"/>
    <w:rsid w:val="00CE62ED"/>
    <w:rsid w:val="00CF1067"/>
    <w:rsid w:val="00CF21D5"/>
    <w:rsid w:val="00CF2951"/>
    <w:rsid w:val="00CF48AE"/>
    <w:rsid w:val="00CF56D9"/>
    <w:rsid w:val="00CF6352"/>
    <w:rsid w:val="00D00CB6"/>
    <w:rsid w:val="00D01F2A"/>
    <w:rsid w:val="00D02BAF"/>
    <w:rsid w:val="00D03E49"/>
    <w:rsid w:val="00D06B3A"/>
    <w:rsid w:val="00D079F0"/>
    <w:rsid w:val="00D07A76"/>
    <w:rsid w:val="00D11299"/>
    <w:rsid w:val="00D130DD"/>
    <w:rsid w:val="00D17089"/>
    <w:rsid w:val="00D17331"/>
    <w:rsid w:val="00D178D3"/>
    <w:rsid w:val="00D2178D"/>
    <w:rsid w:val="00D21C4B"/>
    <w:rsid w:val="00D21D1A"/>
    <w:rsid w:val="00D2249E"/>
    <w:rsid w:val="00D2590F"/>
    <w:rsid w:val="00D26853"/>
    <w:rsid w:val="00D26D0B"/>
    <w:rsid w:val="00D31852"/>
    <w:rsid w:val="00D326A3"/>
    <w:rsid w:val="00D33CF7"/>
    <w:rsid w:val="00D34AC4"/>
    <w:rsid w:val="00D3697B"/>
    <w:rsid w:val="00D36B2A"/>
    <w:rsid w:val="00D412B6"/>
    <w:rsid w:val="00D414DD"/>
    <w:rsid w:val="00D41ABE"/>
    <w:rsid w:val="00D4239C"/>
    <w:rsid w:val="00D43F37"/>
    <w:rsid w:val="00D45348"/>
    <w:rsid w:val="00D50315"/>
    <w:rsid w:val="00D50E1A"/>
    <w:rsid w:val="00D51AB0"/>
    <w:rsid w:val="00D5259B"/>
    <w:rsid w:val="00D53347"/>
    <w:rsid w:val="00D53954"/>
    <w:rsid w:val="00D53A8B"/>
    <w:rsid w:val="00D53F43"/>
    <w:rsid w:val="00D55E26"/>
    <w:rsid w:val="00D5683F"/>
    <w:rsid w:val="00D71BCA"/>
    <w:rsid w:val="00D72751"/>
    <w:rsid w:val="00D72840"/>
    <w:rsid w:val="00D72BAD"/>
    <w:rsid w:val="00D73729"/>
    <w:rsid w:val="00D73967"/>
    <w:rsid w:val="00D74669"/>
    <w:rsid w:val="00D757A9"/>
    <w:rsid w:val="00D76B02"/>
    <w:rsid w:val="00D7709D"/>
    <w:rsid w:val="00D80CDA"/>
    <w:rsid w:val="00D85E16"/>
    <w:rsid w:val="00D90AE7"/>
    <w:rsid w:val="00D91F82"/>
    <w:rsid w:val="00D926B2"/>
    <w:rsid w:val="00D92B59"/>
    <w:rsid w:val="00D933FE"/>
    <w:rsid w:val="00D965DD"/>
    <w:rsid w:val="00D97ECD"/>
    <w:rsid w:val="00DA0629"/>
    <w:rsid w:val="00DA16DC"/>
    <w:rsid w:val="00DA1D69"/>
    <w:rsid w:val="00DA2290"/>
    <w:rsid w:val="00DA404C"/>
    <w:rsid w:val="00DA5ED2"/>
    <w:rsid w:val="00DA5FBE"/>
    <w:rsid w:val="00DB09B9"/>
    <w:rsid w:val="00DB0E36"/>
    <w:rsid w:val="00DB1D60"/>
    <w:rsid w:val="00DB1EE2"/>
    <w:rsid w:val="00DB2C9B"/>
    <w:rsid w:val="00DB308E"/>
    <w:rsid w:val="00DB5360"/>
    <w:rsid w:val="00DB749D"/>
    <w:rsid w:val="00DC0CC3"/>
    <w:rsid w:val="00DC1281"/>
    <w:rsid w:val="00DC31E7"/>
    <w:rsid w:val="00DC4935"/>
    <w:rsid w:val="00DC57A2"/>
    <w:rsid w:val="00DC7530"/>
    <w:rsid w:val="00DD1867"/>
    <w:rsid w:val="00DD260F"/>
    <w:rsid w:val="00DD3B15"/>
    <w:rsid w:val="00DD55FA"/>
    <w:rsid w:val="00DD67B3"/>
    <w:rsid w:val="00DD7A82"/>
    <w:rsid w:val="00DE0064"/>
    <w:rsid w:val="00DE04B5"/>
    <w:rsid w:val="00DE35CA"/>
    <w:rsid w:val="00DE4260"/>
    <w:rsid w:val="00DE43CC"/>
    <w:rsid w:val="00DE487E"/>
    <w:rsid w:val="00DE6409"/>
    <w:rsid w:val="00DE7246"/>
    <w:rsid w:val="00DE76F6"/>
    <w:rsid w:val="00DF112F"/>
    <w:rsid w:val="00DF4195"/>
    <w:rsid w:val="00DF794B"/>
    <w:rsid w:val="00DF795E"/>
    <w:rsid w:val="00DF7AA7"/>
    <w:rsid w:val="00DF7C87"/>
    <w:rsid w:val="00E01B66"/>
    <w:rsid w:val="00E02203"/>
    <w:rsid w:val="00E03C7F"/>
    <w:rsid w:val="00E0497D"/>
    <w:rsid w:val="00E050A9"/>
    <w:rsid w:val="00E0546F"/>
    <w:rsid w:val="00E05587"/>
    <w:rsid w:val="00E0766B"/>
    <w:rsid w:val="00E0790F"/>
    <w:rsid w:val="00E07AC2"/>
    <w:rsid w:val="00E10C8F"/>
    <w:rsid w:val="00E1167D"/>
    <w:rsid w:val="00E11B9B"/>
    <w:rsid w:val="00E12440"/>
    <w:rsid w:val="00E124A9"/>
    <w:rsid w:val="00E1498A"/>
    <w:rsid w:val="00E14FFE"/>
    <w:rsid w:val="00E16EFE"/>
    <w:rsid w:val="00E17995"/>
    <w:rsid w:val="00E21DE4"/>
    <w:rsid w:val="00E22BEB"/>
    <w:rsid w:val="00E22E68"/>
    <w:rsid w:val="00E24A90"/>
    <w:rsid w:val="00E27FE0"/>
    <w:rsid w:val="00E30F39"/>
    <w:rsid w:val="00E319A2"/>
    <w:rsid w:val="00E31F9A"/>
    <w:rsid w:val="00E360C5"/>
    <w:rsid w:val="00E3686B"/>
    <w:rsid w:val="00E36EB0"/>
    <w:rsid w:val="00E4008A"/>
    <w:rsid w:val="00E42E1A"/>
    <w:rsid w:val="00E42EFD"/>
    <w:rsid w:val="00E433EC"/>
    <w:rsid w:val="00E43784"/>
    <w:rsid w:val="00E44771"/>
    <w:rsid w:val="00E46243"/>
    <w:rsid w:val="00E46469"/>
    <w:rsid w:val="00E469AB"/>
    <w:rsid w:val="00E46EB7"/>
    <w:rsid w:val="00E4750E"/>
    <w:rsid w:val="00E47F5B"/>
    <w:rsid w:val="00E51E3C"/>
    <w:rsid w:val="00E541E0"/>
    <w:rsid w:val="00E55DC0"/>
    <w:rsid w:val="00E60794"/>
    <w:rsid w:val="00E61917"/>
    <w:rsid w:val="00E61B7C"/>
    <w:rsid w:val="00E62403"/>
    <w:rsid w:val="00E62561"/>
    <w:rsid w:val="00E639F4"/>
    <w:rsid w:val="00E64A62"/>
    <w:rsid w:val="00E64F1C"/>
    <w:rsid w:val="00E65D44"/>
    <w:rsid w:val="00E676F0"/>
    <w:rsid w:val="00E67891"/>
    <w:rsid w:val="00E7216E"/>
    <w:rsid w:val="00E7272A"/>
    <w:rsid w:val="00E728E9"/>
    <w:rsid w:val="00E72C80"/>
    <w:rsid w:val="00E74088"/>
    <w:rsid w:val="00E74844"/>
    <w:rsid w:val="00E75411"/>
    <w:rsid w:val="00E75B54"/>
    <w:rsid w:val="00E76735"/>
    <w:rsid w:val="00E77185"/>
    <w:rsid w:val="00E81101"/>
    <w:rsid w:val="00E8194A"/>
    <w:rsid w:val="00E82D72"/>
    <w:rsid w:val="00E82E25"/>
    <w:rsid w:val="00E8348F"/>
    <w:rsid w:val="00E843D1"/>
    <w:rsid w:val="00E843F7"/>
    <w:rsid w:val="00E84881"/>
    <w:rsid w:val="00E858D5"/>
    <w:rsid w:val="00E87208"/>
    <w:rsid w:val="00E95442"/>
    <w:rsid w:val="00E95F2C"/>
    <w:rsid w:val="00E9735E"/>
    <w:rsid w:val="00EA0273"/>
    <w:rsid w:val="00EA076C"/>
    <w:rsid w:val="00EA1C12"/>
    <w:rsid w:val="00EA23C8"/>
    <w:rsid w:val="00EA2575"/>
    <w:rsid w:val="00EA4E34"/>
    <w:rsid w:val="00EA6092"/>
    <w:rsid w:val="00EA7461"/>
    <w:rsid w:val="00EB3564"/>
    <w:rsid w:val="00EB4C8D"/>
    <w:rsid w:val="00EB4D98"/>
    <w:rsid w:val="00EB5410"/>
    <w:rsid w:val="00EB6747"/>
    <w:rsid w:val="00EB67F6"/>
    <w:rsid w:val="00EB6CEB"/>
    <w:rsid w:val="00EB74DE"/>
    <w:rsid w:val="00EC07AA"/>
    <w:rsid w:val="00EC0C5F"/>
    <w:rsid w:val="00EC2A23"/>
    <w:rsid w:val="00EC3A40"/>
    <w:rsid w:val="00EC4279"/>
    <w:rsid w:val="00EC4411"/>
    <w:rsid w:val="00EC60A0"/>
    <w:rsid w:val="00EC712D"/>
    <w:rsid w:val="00ED0A9F"/>
    <w:rsid w:val="00ED122E"/>
    <w:rsid w:val="00ED1993"/>
    <w:rsid w:val="00ED1FAA"/>
    <w:rsid w:val="00ED3324"/>
    <w:rsid w:val="00ED370F"/>
    <w:rsid w:val="00ED4062"/>
    <w:rsid w:val="00ED4E64"/>
    <w:rsid w:val="00ED66BF"/>
    <w:rsid w:val="00ED7450"/>
    <w:rsid w:val="00ED7624"/>
    <w:rsid w:val="00ED7901"/>
    <w:rsid w:val="00ED7FE0"/>
    <w:rsid w:val="00EE0033"/>
    <w:rsid w:val="00EE00AD"/>
    <w:rsid w:val="00EE0F7D"/>
    <w:rsid w:val="00EE13F5"/>
    <w:rsid w:val="00EE1A55"/>
    <w:rsid w:val="00EE1B15"/>
    <w:rsid w:val="00EE1FEB"/>
    <w:rsid w:val="00EE2276"/>
    <w:rsid w:val="00EE2974"/>
    <w:rsid w:val="00EE2E4D"/>
    <w:rsid w:val="00EE3071"/>
    <w:rsid w:val="00EE4C2B"/>
    <w:rsid w:val="00EE66D7"/>
    <w:rsid w:val="00EE688E"/>
    <w:rsid w:val="00EE69F0"/>
    <w:rsid w:val="00EF0A3C"/>
    <w:rsid w:val="00EF1A65"/>
    <w:rsid w:val="00EF36DE"/>
    <w:rsid w:val="00EF4A32"/>
    <w:rsid w:val="00EF7A15"/>
    <w:rsid w:val="00F029D0"/>
    <w:rsid w:val="00F03EBD"/>
    <w:rsid w:val="00F043F6"/>
    <w:rsid w:val="00F047CB"/>
    <w:rsid w:val="00F058FF"/>
    <w:rsid w:val="00F07014"/>
    <w:rsid w:val="00F078D6"/>
    <w:rsid w:val="00F11493"/>
    <w:rsid w:val="00F11F05"/>
    <w:rsid w:val="00F120F4"/>
    <w:rsid w:val="00F12BA8"/>
    <w:rsid w:val="00F13028"/>
    <w:rsid w:val="00F133A5"/>
    <w:rsid w:val="00F1342E"/>
    <w:rsid w:val="00F13CC7"/>
    <w:rsid w:val="00F152FD"/>
    <w:rsid w:val="00F15AA2"/>
    <w:rsid w:val="00F160CC"/>
    <w:rsid w:val="00F1652C"/>
    <w:rsid w:val="00F166B2"/>
    <w:rsid w:val="00F2126E"/>
    <w:rsid w:val="00F2137D"/>
    <w:rsid w:val="00F21C24"/>
    <w:rsid w:val="00F22C31"/>
    <w:rsid w:val="00F23511"/>
    <w:rsid w:val="00F24E89"/>
    <w:rsid w:val="00F25E8E"/>
    <w:rsid w:val="00F266ED"/>
    <w:rsid w:val="00F26A22"/>
    <w:rsid w:val="00F31F6B"/>
    <w:rsid w:val="00F31FED"/>
    <w:rsid w:val="00F33426"/>
    <w:rsid w:val="00F33842"/>
    <w:rsid w:val="00F340E1"/>
    <w:rsid w:val="00F34234"/>
    <w:rsid w:val="00F35830"/>
    <w:rsid w:val="00F37478"/>
    <w:rsid w:val="00F41E90"/>
    <w:rsid w:val="00F42108"/>
    <w:rsid w:val="00F42596"/>
    <w:rsid w:val="00F42CCD"/>
    <w:rsid w:val="00F4395E"/>
    <w:rsid w:val="00F467BC"/>
    <w:rsid w:val="00F473DE"/>
    <w:rsid w:val="00F47940"/>
    <w:rsid w:val="00F505E5"/>
    <w:rsid w:val="00F5543A"/>
    <w:rsid w:val="00F5688B"/>
    <w:rsid w:val="00F56C2A"/>
    <w:rsid w:val="00F56D5A"/>
    <w:rsid w:val="00F56E80"/>
    <w:rsid w:val="00F57D1F"/>
    <w:rsid w:val="00F57E73"/>
    <w:rsid w:val="00F63469"/>
    <w:rsid w:val="00F668BC"/>
    <w:rsid w:val="00F67B7D"/>
    <w:rsid w:val="00F7097E"/>
    <w:rsid w:val="00F71451"/>
    <w:rsid w:val="00F7274D"/>
    <w:rsid w:val="00F72B73"/>
    <w:rsid w:val="00F72DF6"/>
    <w:rsid w:val="00F73E77"/>
    <w:rsid w:val="00F76D91"/>
    <w:rsid w:val="00F80331"/>
    <w:rsid w:val="00F80658"/>
    <w:rsid w:val="00F80D94"/>
    <w:rsid w:val="00F825FC"/>
    <w:rsid w:val="00F8445B"/>
    <w:rsid w:val="00F863AC"/>
    <w:rsid w:val="00F86C14"/>
    <w:rsid w:val="00F87324"/>
    <w:rsid w:val="00F905B9"/>
    <w:rsid w:val="00F91575"/>
    <w:rsid w:val="00F91D4F"/>
    <w:rsid w:val="00F91E15"/>
    <w:rsid w:val="00F92006"/>
    <w:rsid w:val="00F926EC"/>
    <w:rsid w:val="00F92947"/>
    <w:rsid w:val="00F92E87"/>
    <w:rsid w:val="00F93BE3"/>
    <w:rsid w:val="00F9560E"/>
    <w:rsid w:val="00F9699C"/>
    <w:rsid w:val="00F96D59"/>
    <w:rsid w:val="00F97A72"/>
    <w:rsid w:val="00FA0DC1"/>
    <w:rsid w:val="00FA1E93"/>
    <w:rsid w:val="00FA36E9"/>
    <w:rsid w:val="00FA3BC2"/>
    <w:rsid w:val="00FA5EF5"/>
    <w:rsid w:val="00FA6740"/>
    <w:rsid w:val="00FA6BBE"/>
    <w:rsid w:val="00FB0FE5"/>
    <w:rsid w:val="00FB1CCB"/>
    <w:rsid w:val="00FB2AA5"/>
    <w:rsid w:val="00FB310F"/>
    <w:rsid w:val="00FB33EF"/>
    <w:rsid w:val="00FB4389"/>
    <w:rsid w:val="00FB5953"/>
    <w:rsid w:val="00FC2693"/>
    <w:rsid w:val="00FC36A7"/>
    <w:rsid w:val="00FC381A"/>
    <w:rsid w:val="00FC466F"/>
    <w:rsid w:val="00FC7B02"/>
    <w:rsid w:val="00FD0F09"/>
    <w:rsid w:val="00FD1627"/>
    <w:rsid w:val="00FD1A87"/>
    <w:rsid w:val="00FD277B"/>
    <w:rsid w:val="00FD2E00"/>
    <w:rsid w:val="00FD2F29"/>
    <w:rsid w:val="00FD33F7"/>
    <w:rsid w:val="00FD5037"/>
    <w:rsid w:val="00FD6B7B"/>
    <w:rsid w:val="00FD77C2"/>
    <w:rsid w:val="00FE0798"/>
    <w:rsid w:val="00FE1131"/>
    <w:rsid w:val="00FE22B1"/>
    <w:rsid w:val="00FE2804"/>
    <w:rsid w:val="00FE618E"/>
    <w:rsid w:val="00FF0B29"/>
    <w:rsid w:val="00FF0CA6"/>
    <w:rsid w:val="00FF1B8B"/>
    <w:rsid w:val="00FF20EE"/>
    <w:rsid w:val="00FF2BE4"/>
    <w:rsid w:val="00FF48DD"/>
    <w:rsid w:val="00FF61B3"/>
    <w:rsid w:val="00FF68B4"/>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rPr>
  </w:style>
  <w:style w:type="paragraph" w:styleId="Heading1">
    <w:name w:val="heading 1"/>
    <w:basedOn w:val="Normal"/>
    <w:next w:val="Normal"/>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uiPriority w:val="99"/>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link w:val="BalloonTextChar"/>
    <w:uiPriority w:val="99"/>
    <w:semiHidden/>
    <w:rsid w:val="000262B1"/>
    <w:rPr>
      <w:rFonts w:ascii="Tahoma" w:hAnsi="Tahoma" w:cs="Tahoma"/>
      <w:sz w:val="16"/>
      <w:szCs w:val="16"/>
    </w:rPr>
  </w:style>
  <w:style w:type="paragraph" w:styleId="Header">
    <w:name w:val="header"/>
    <w:basedOn w:val="Normal"/>
    <w:rsid w:val="000262B1"/>
    <w:pPr>
      <w:tabs>
        <w:tab w:val="center" w:pos="4153"/>
        <w:tab w:val="right" w:pos="8306"/>
      </w:tabs>
    </w:pPr>
  </w:style>
  <w:style w:type="paragraph" w:styleId="Footer">
    <w:name w:val="footer"/>
    <w:basedOn w:val="Normal"/>
    <w:link w:val="FooterChar"/>
    <w:uiPriority w:val="99"/>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uiPriority w:val="99"/>
    <w:rsid w:val="00DB0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semiHidden/>
    <w:rsid w:val="00372B9C"/>
    <w:pPr>
      <w:tabs>
        <w:tab w:val="right" w:leader="dot" w:pos="9072"/>
      </w:tabs>
      <w:ind w:left="240"/>
    </w:pPr>
    <w:rPr>
      <w:rFonts w:ascii="Arial" w:hAnsi="Arial"/>
      <w:sz w:val="22"/>
    </w:rPr>
  </w:style>
  <w:style w:type="paragraph" w:styleId="TOC3">
    <w:name w:val="toc 3"/>
    <w:basedOn w:val="Normal"/>
    <w:next w:val="Normal"/>
    <w:autoRedefine/>
    <w:uiPriority w:val="39"/>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paragraph" w:styleId="TOCHeading">
    <w:name w:val="TOC Heading"/>
    <w:basedOn w:val="Heading1"/>
    <w:next w:val="Normal"/>
    <w:uiPriority w:val="39"/>
    <w:semiHidden/>
    <w:unhideWhenUsed/>
    <w:qFormat/>
    <w:rsid w:val="001D5B8C"/>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04fBodytextblue">
    <w:name w:val="04f_Body text blue"/>
    <w:basedOn w:val="Normal"/>
    <w:uiPriority w:val="99"/>
    <w:rsid w:val="00A374AA"/>
    <w:pPr>
      <w:pBdr>
        <w:bottom w:val="single" w:sz="4" w:space="12" w:color="283583"/>
      </w:pBdr>
      <w:spacing w:after="250" w:line="276" w:lineRule="auto"/>
      <w:jc w:val="both"/>
    </w:pPr>
    <w:rPr>
      <w:rFonts w:ascii="Georgia" w:hAnsi="Georgia"/>
      <w:color w:val="2D4190"/>
      <w:sz w:val="20"/>
      <w:lang w:eastAsia="de-DE"/>
    </w:rPr>
  </w:style>
  <w:style w:type="paragraph" w:styleId="IntenseQuote">
    <w:name w:val="Intense Quote"/>
    <w:basedOn w:val="Normal"/>
    <w:next w:val="Normal"/>
    <w:link w:val="IntenseQuoteChar"/>
    <w:uiPriority w:val="30"/>
    <w:qFormat/>
    <w:rsid w:val="002F52F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2F52F8"/>
    <w:rPr>
      <w:rFonts w:asciiTheme="minorHAnsi" w:eastAsiaTheme="minorHAnsi" w:hAnsiTheme="minorHAnsi" w:cstheme="minorBidi"/>
      <w:b/>
      <w:bCs/>
      <w:i/>
      <w:iCs/>
      <w:color w:val="4F81BD" w:themeColor="accent1"/>
      <w:sz w:val="22"/>
      <w:szCs w:val="22"/>
      <w:lang w:eastAsia="en-US"/>
    </w:rPr>
  </w:style>
  <w:style w:type="character" w:styleId="IntenseEmphasis">
    <w:name w:val="Intense Emphasis"/>
    <w:basedOn w:val="DefaultParagraphFont"/>
    <w:uiPriority w:val="21"/>
    <w:qFormat/>
    <w:rsid w:val="002F52F8"/>
    <w:rPr>
      <w:b/>
      <w:bCs/>
      <w:i/>
      <w:iCs/>
      <w:color w:val="4F81BD" w:themeColor="accent1"/>
    </w:rPr>
  </w:style>
  <w:style w:type="paragraph" w:customStyle="1" w:styleId="Applicationdirecte">
    <w:name w:val="Application directe"/>
    <w:basedOn w:val="Normal"/>
    <w:next w:val="Fait"/>
    <w:uiPriority w:val="99"/>
    <w:rsid w:val="00BD67D2"/>
    <w:pPr>
      <w:spacing w:before="480" w:after="120"/>
      <w:jc w:val="both"/>
    </w:pPr>
    <w:rPr>
      <w:lang w:eastAsia="de-DE"/>
    </w:rPr>
  </w:style>
  <w:style w:type="paragraph" w:customStyle="1" w:styleId="Considrant">
    <w:name w:val="Considérant"/>
    <w:basedOn w:val="Normal"/>
    <w:uiPriority w:val="99"/>
    <w:rsid w:val="00BD67D2"/>
    <w:pPr>
      <w:numPr>
        <w:numId w:val="32"/>
      </w:numPr>
      <w:spacing w:before="120" w:after="120"/>
      <w:jc w:val="both"/>
    </w:pPr>
    <w:rPr>
      <w:lang w:eastAsia="de-DE"/>
    </w:rPr>
  </w:style>
  <w:style w:type="paragraph" w:customStyle="1" w:styleId="Datedadoption">
    <w:name w:val="Date d'adoption"/>
    <w:basedOn w:val="Normal"/>
    <w:next w:val="Normal"/>
    <w:uiPriority w:val="99"/>
    <w:rsid w:val="00BD67D2"/>
    <w:pPr>
      <w:spacing w:before="360"/>
      <w:jc w:val="center"/>
    </w:pPr>
    <w:rPr>
      <w:b/>
      <w:lang w:eastAsia="de-DE"/>
    </w:rPr>
  </w:style>
  <w:style w:type="paragraph" w:customStyle="1" w:styleId="Fait">
    <w:name w:val="Fait à"/>
    <w:basedOn w:val="Normal"/>
    <w:next w:val="Institutionquisigne"/>
    <w:uiPriority w:val="99"/>
    <w:rsid w:val="00BD67D2"/>
    <w:pPr>
      <w:keepNext/>
      <w:spacing w:before="120"/>
      <w:jc w:val="both"/>
    </w:pPr>
    <w:rPr>
      <w:lang w:eastAsia="de-DE"/>
    </w:rPr>
  </w:style>
  <w:style w:type="paragraph" w:customStyle="1" w:styleId="Institutionquiagit">
    <w:name w:val="Institution qui agit"/>
    <w:basedOn w:val="Normal"/>
    <w:next w:val="Normal"/>
    <w:uiPriority w:val="99"/>
    <w:rsid w:val="00BD67D2"/>
    <w:pPr>
      <w:keepNext/>
      <w:spacing w:before="600" w:after="120"/>
      <w:jc w:val="both"/>
    </w:pPr>
    <w:rPr>
      <w:lang w:eastAsia="de-DE"/>
    </w:rPr>
  </w:style>
  <w:style w:type="paragraph" w:customStyle="1" w:styleId="Institutionquisigne">
    <w:name w:val="Institution qui signe"/>
    <w:basedOn w:val="Normal"/>
    <w:next w:val="Personnequisigne"/>
    <w:uiPriority w:val="99"/>
    <w:rsid w:val="00BD67D2"/>
    <w:pPr>
      <w:keepNext/>
      <w:tabs>
        <w:tab w:val="left" w:pos="4252"/>
      </w:tabs>
      <w:spacing w:before="720"/>
      <w:jc w:val="both"/>
    </w:pPr>
    <w:rPr>
      <w:i/>
      <w:lang w:eastAsia="de-DE"/>
    </w:rPr>
  </w:style>
  <w:style w:type="paragraph" w:customStyle="1" w:styleId="Personnequisigne">
    <w:name w:val="Personne qui signe"/>
    <w:basedOn w:val="Normal"/>
    <w:next w:val="Institutionquisigne"/>
    <w:uiPriority w:val="99"/>
    <w:rsid w:val="00BD67D2"/>
    <w:pPr>
      <w:tabs>
        <w:tab w:val="left" w:pos="4252"/>
      </w:tabs>
    </w:pPr>
    <w:rPr>
      <w:i/>
      <w:lang w:eastAsia="de-DE"/>
    </w:rPr>
  </w:style>
  <w:style w:type="paragraph" w:customStyle="1" w:styleId="Titrearticle">
    <w:name w:val="Titre article"/>
    <w:basedOn w:val="Normal"/>
    <w:next w:val="Normal"/>
    <w:uiPriority w:val="99"/>
    <w:rsid w:val="00BD67D2"/>
    <w:pPr>
      <w:keepNext/>
      <w:spacing w:before="360" w:after="120"/>
      <w:jc w:val="center"/>
    </w:pPr>
    <w:rPr>
      <w:i/>
      <w:lang w:eastAsia="de-DE"/>
    </w:rPr>
  </w:style>
  <w:style w:type="paragraph" w:customStyle="1" w:styleId="Typedudocument">
    <w:name w:val="Type du document"/>
    <w:basedOn w:val="Normal"/>
    <w:next w:val="Datedadoption"/>
    <w:uiPriority w:val="99"/>
    <w:rsid w:val="00BD67D2"/>
    <w:pPr>
      <w:spacing w:before="360"/>
      <w:jc w:val="center"/>
    </w:pPr>
    <w:rPr>
      <w:b/>
      <w:lang w:eastAsia="de-DE"/>
    </w:rPr>
  </w:style>
  <w:style w:type="character" w:customStyle="1" w:styleId="BalloonTextChar">
    <w:name w:val="Balloon Text Char"/>
    <w:basedOn w:val="DefaultParagraphFont"/>
    <w:link w:val="BalloonText"/>
    <w:uiPriority w:val="99"/>
    <w:semiHidden/>
    <w:locked/>
    <w:rsid w:val="00BD67D2"/>
    <w:rPr>
      <w:rFonts w:ascii="Tahoma" w:hAnsi="Tahoma" w:cs="Tahoma"/>
      <w:sz w:val="16"/>
      <w:szCs w:val="16"/>
    </w:rPr>
  </w:style>
  <w:style w:type="paragraph" w:customStyle="1" w:styleId="Annexetitre">
    <w:name w:val="Annexe titre"/>
    <w:basedOn w:val="Normal"/>
    <w:next w:val="Normal"/>
    <w:uiPriority w:val="99"/>
    <w:rsid w:val="00BD67D2"/>
    <w:pPr>
      <w:spacing w:before="120" w:after="120"/>
      <w:jc w:val="center"/>
    </w:pPr>
    <w:rPr>
      <w:b/>
      <w:u w:val="single"/>
      <w:lang w:eastAsia="en-US"/>
    </w:rPr>
  </w:style>
  <w:style w:type="paragraph" w:customStyle="1" w:styleId="Pagedecouverture">
    <w:name w:val="Page de couverture"/>
    <w:basedOn w:val="Normal"/>
    <w:next w:val="Normal"/>
    <w:uiPriority w:val="99"/>
    <w:rsid w:val="00BD67D2"/>
    <w:pPr>
      <w:spacing w:before="120" w:after="120"/>
      <w:jc w:val="both"/>
    </w:pPr>
    <w:rPr>
      <w:lang w:eastAsia="en-US"/>
    </w:rPr>
  </w:style>
  <w:style w:type="character" w:customStyle="1" w:styleId="FooterChar">
    <w:name w:val="Footer Char"/>
    <w:basedOn w:val="DefaultParagraphFont"/>
    <w:link w:val="Footer"/>
    <w:uiPriority w:val="99"/>
    <w:rsid w:val="00BD67D2"/>
    <w:rPr>
      <w:sz w:val="24"/>
      <w:szCs w:val="24"/>
    </w:rPr>
  </w:style>
  <w:style w:type="paragraph" w:styleId="NoSpacing">
    <w:name w:val="No Spacing"/>
    <w:uiPriority w:val="1"/>
    <w:qFormat/>
    <w:rsid w:val="00BD67D2"/>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locked/>
    <w:rsid w:val="00B51C27"/>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A75F56"/>
    <w:rPr>
      <w:i/>
      <w:iCs/>
    </w:rPr>
  </w:style>
  <w:style w:type="paragraph" w:styleId="Title">
    <w:name w:val="Title"/>
    <w:basedOn w:val="Normal"/>
    <w:link w:val="TitleChar"/>
    <w:qFormat/>
    <w:rsid w:val="00731604"/>
    <w:pPr>
      <w:spacing w:before="240" w:after="60" w:line="240" w:lineRule="atLeast"/>
      <w:jc w:val="center"/>
      <w:outlineLvl w:val="0"/>
    </w:pPr>
    <w:rPr>
      <w:rFonts w:ascii="Arial" w:eastAsia="MS Mincho" w:hAnsi="Arial" w:cs="Arial"/>
      <w:b/>
      <w:bCs/>
      <w:kern w:val="28"/>
      <w:sz w:val="28"/>
      <w:szCs w:val="32"/>
      <w:lang w:val="en-US" w:eastAsia="ja-JP"/>
    </w:rPr>
  </w:style>
  <w:style w:type="character" w:customStyle="1" w:styleId="TitleChar">
    <w:name w:val="Title Char"/>
    <w:basedOn w:val="DefaultParagraphFont"/>
    <w:link w:val="Title"/>
    <w:rsid w:val="00731604"/>
    <w:rPr>
      <w:rFonts w:ascii="Arial" w:eastAsia="MS Mincho" w:hAnsi="Arial" w:cs="Arial"/>
      <w:b/>
      <w:bCs/>
      <w:kern w:val="28"/>
      <w:sz w:val="28"/>
      <w:szCs w:val="32"/>
      <w:lang w:val="en-US" w:eastAsia="ja-JP"/>
    </w:rPr>
  </w:style>
  <w:style w:type="character" w:styleId="FollowedHyperlink">
    <w:name w:val="FollowedHyperlink"/>
    <w:basedOn w:val="DefaultParagraphFont"/>
    <w:rsid w:val="008C42D4"/>
    <w:rPr>
      <w:color w:val="800080" w:themeColor="followedHyperlink"/>
      <w:u w:val="single"/>
    </w:rPr>
  </w:style>
  <w:style w:type="paragraph" w:customStyle="1" w:styleId="CM4">
    <w:name w:val="CM4"/>
    <w:basedOn w:val="Default"/>
    <w:next w:val="Default"/>
    <w:uiPriority w:val="99"/>
    <w:rsid w:val="00E541E0"/>
    <w:rPr>
      <w:rFonts w:ascii="Times New Roman" w:hAnsi="Times New Roman"/>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rPr>
  </w:style>
  <w:style w:type="paragraph" w:styleId="Heading1">
    <w:name w:val="heading 1"/>
    <w:basedOn w:val="Normal"/>
    <w:next w:val="Normal"/>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uiPriority w:val="99"/>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link w:val="BalloonTextChar"/>
    <w:uiPriority w:val="99"/>
    <w:semiHidden/>
    <w:rsid w:val="000262B1"/>
    <w:rPr>
      <w:rFonts w:ascii="Tahoma" w:hAnsi="Tahoma" w:cs="Tahoma"/>
      <w:sz w:val="16"/>
      <w:szCs w:val="16"/>
    </w:rPr>
  </w:style>
  <w:style w:type="paragraph" w:styleId="Header">
    <w:name w:val="header"/>
    <w:basedOn w:val="Normal"/>
    <w:rsid w:val="000262B1"/>
    <w:pPr>
      <w:tabs>
        <w:tab w:val="center" w:pos="4153"/>
        <w:tab w:val="right" w:pos="8306"/>
      </w:tabs>
    </w:pPr>
  </w:style>
  <w:style w:type="paragraph" w:styleId="Footer">
    <w:name w:val="footer"/>
    <w:basedOn w:val="Normal"/>
    <w:link w:val="FooterChar"/>
    <w:uiPriority w:val="99"/>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uiPriority w:val="99"/>
    <w:rsid w:val="00DB0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semiHidden/>
    <w:rsid w:val="00372B9C"/>
    <w:pPr>
      <w:tabs>
        <w:tab w:val="right" w:leader="dot" w:pos="9072"/>
      </w:tabs>
      <w:ind w:left="240"/>
    </w:pPr>
    <w:rPr>
      <w:rFonts w:ascii="Arial" w:hAnsi="Arial"/>
      <w:sz w:val="22"/>
    </w:rPr>
  </w:style>
  <w:style w:type="paragraph" w:styleId="TOC3">
    <w:name w:val="toc 3"/>
    <w:basedOn w:val="Normal"/>
    <w:next w:val="Normal"/>
    <w:autoRedefine/>
    <w:uiPriority w:val="39"/>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paragraph" w:styleId="TOCHeading">
    <w:name w:val="TOC Heading"/>
    <w:basedOn w:val="Heading1"/>
    <w:next w:val="Normal"/>
    <w:uiPriority w:val="39"/>
    <w:semiHidden/>
    <w:unhideWhenUsed/>
    <w:qFormat/>
    <w:rsid w:val="001D5B8C"/>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04fBodytextblue">
    <w:name w:val="04f_Body text blue"/>
    <w:basedOn w:val="Normal"/>
    <w:uiPriority w:val="99"/>
    <w:rsid w:val="00A374AA"/>
    <w:pPr>
      <w:pBdr>
        <w:bottom w:val="single" w:sz="4" w:space="12" w:color="283583"/>
      </w:pBdr>
      <w:spacing w:after="250" w:line="276" w:lineRule="auto"/>
      <w:jc w:val="both"/>
    </w:pPr>
    <w:rPr>
      <w:rFonts w:ascii="Georgia" w:hAnsi="Georgia"/>
      <w:color w:val="2D4190"/>
      <w:sz w:val="20"/>
      <w:lang w:eastAsia="de-DE"/>
    </w:rPr>
  </w:style>
  <w:style w:type="paragraph" w:styleId="IntenseQuote">
    <w:name w:val="Intense Quote"/>
    <w:basedOn w:val="Normal"/>
    <w:next w:val="Normal"/>
    <w:link w:val="IntenseQuoteChar"/>
    <w:uiPriority w:val="30"/>
    <w:qFormat/>
    <w:rsid w:val="002F52F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2F52F8"/>
    <w:rPr>
      <w:rFonts w:asciiTheme="minorHAnsi" w:eastAsiaTheme="minorHAnsi" w:hAnsiTheme="minorHAnsi" w:cstheme="minorBidi"/>
      <w:b/>
      <w:bCs/>
      <w:i/>
      <w:iCs/>
      <w:color w:val="4F81BD" w:themeColor="accent1"/>
      <w:sz w:val="22"/>
      <w:szCs w:val="22"/>
      <w:lang w:eastAsia="en-US"/>
    </w:rPr>
  </w:style>
  <w:style w:type="character" w:styleId="IntenseEmphasis">
    <w:name w:val="Intense Emphasis"/>
    <w:basedOn w:val="DefaultParagraphFont"/>
    <w:uiPriority w:val="21"/>
    <w:qFormat/>
    <w:rsid w:val="002F52F8"/>
    <w:rPr>
      <w:b/>
      <w:bCs/>
      <w:i/>
      <w:iCs/>
      <w:color w:val="4F81BD" w:themeColor="accent1"/>
    </w:rPr>
  </w:style>
  <w:style w:type="paragraph" w:customStyle="1" w:styleId="Applicationdirecte">
    <w:name w:val="Application directe"/>
    <w:basedOn w:val="Normal"/>
    <w:next w:val="Fait"/>
    <w:uiPriority w:val="99"/>
    <w:rsid w:val="00BD67D2"/>
    <w:pPr>
      <w:spacing w:before="480" w:after="120"/>
      <w:jc w:val="both"/>
    </w:pPr>
    <w:rPr>
      <w:lang w:eastAsia="de-DE"/>
    </w:rPr>
  </w:style>
  <w:style w:type="paragraph" w:customStyle="1" w:styleId="Considrant">
    <w:name w:val="Considérant"/>
    <w:basedOn w:val="Normal"/>
    <w:uiPriority w:val="99"/>
    <w:rsid w:val="00BD67D2"/>
    <w:pPr>
      <w:numPr>
        <w:numId w:val="32"/>
      </w:numPr>
      <w:spacing w:before="120" w:after="120"/>
      <w:jc w:val="both"/>
    </w:pPr>
    <w:rPr>
      <w:lang w:eastAsia="de-DE"/>
    </w:rPr>
  </w:style>
  <w:style w:type="paragraph" w:customStyle="1" w:styleId="Datedadoption">
    <w:name w:val="Date d'adoption"/>
    <w:basedOn w:val="Normal"/>
    <w:next w:val="Normal"/>
    <w:uiPriority w:val="99"/>
    <w:rsid w:val="00BD67D2"/>
    <w:pPr>
      <w:spacing w:before="360"/>
      <w:jc w:val="center"/>
    </w:pPr>
    <w:rPr>
      <w:b/>
      <w:lang w:eastAsia="de-DE"/>
    </w:rPr>
  </w:style>
  <w:style w:type="paragraph" w:customStyle="1" w:styleId="Fait">
    <w:name w:val="Fait à"/>
    <w:basedOn w:val="Normal"/>
    <w:next w:val="Institutionquisigne"/>
    <w:uiPriority w:val="99"/>
    <w:rsid w:val="00BD67D2"/>
    <w:pPr>
      <w:keepNext/>
      <w:spacing w:before="120"/>
      <w:jc w:val="both"/>
    </w:pPr>
    <w:rPr>
      <w:lang w:eastAsia="de-DE"/>
    </w:rPr>
  </w:style>
  <w:style w:type="paragraph" w:customStyle="1" w:styleId="Institutionquiagit">
    <w:name w:val="Institution qui agit"/>
    <w:basedOn w:val="Normal"/>
    <w:next w:val="Normal"/>
    <w:uiPriority w:val="99"/>
    <w:rsid w:val="00BD67D2"/>
    <w:pPr>
      <w:keepNext/>
      <w:spacing w:before="600" w:after="120"/>
      <w:jc w:val="both"/>
    </w:pPr>
    <w:rPr>
      <w:lang w:eastAsia="de-DE"/>
    </w:rPr>
  </w:style>
  <w:style w:type="paragraph" w:customStyle="1" w:styleId="Institutionquisigne">
    <w:name w:val="Institution qui signe"/>
    <w:basedOn w:val="Normal"/>
    <w:next w:val="Personnequisigne"/>
    <w:uiPriority w:val="99"/>
    <w:rsid w:val="00BD67D2"/>
    <w:pPr>
      <w:keepNext/>
      <w:tabs>
        <w:tab w:val="left" w:pos="4252"/>
      </w:tabs>
      <w:spacing w:before="720"/>
      <w:jc w:val="both"/>
    </w:pPr>
    <w:rPr>
      <w:i/>
      <w:lang w:eastAsia="de-DE"/>
    </w:rPr>
  </w:style>
  <w:style w:type="paragraph" w:customStyle="1" w:styleId="Personnequisigne">
    <w:name w:val="Personne qui signe"/>
    <w:basedOn w:val="Normal"/>
    <w:next w:val="Institutionquisigne"/>
    <w:uiPriority w:val="99"/>
    <w:rsid w:val="00BD67D2"/>
    <w:pPr>
      <w:tabs>
        <w:tab w:val="left" w:pos="4252"/>
      </w:tabs>
    </w:pPr>
    <w:rPr>
      <w:i/>
      <w:lang w:eastAsia="de-DE"/>
    </w:rPr>
  </w:style>
  <w:style w:type="paragraph" w:customStyle="1" w:styleId="Titrearticle">
    <w:name w:val="Titre article"/>
    <w:basedOn w:val="Normal"/>
    <w:next w:val="Normal"/>
    <w:uiPriority w:val="99"/>
    <w:rsid w:val="00BD67D2"/>
    <w:pPr>
      <w:keepNext/>
      <w:spacing w:before="360" w:after="120"/>
      <w:jc w:val="center"/>
    </w:pPr>
    <w:rPr>
      <w:i/>
      <w:lang w:eastAsia="de-DE"/>
    </w:rPr>
  </w:style>
  <w:style w:type="paragraph" w:customStyle="1" w:styleId="Typedudocument">
    <w:name w:val="Type du document"/>
    <w:basedOn w:val="Normal"/>
    <w:next w:val="Datedadoption"/>
    <w:uiPriority w:val="99"/>
    <w:rsid w:val="00BD67D2"/>
    <w:pPr>
      <w:spacing w:before="360"/>
      <w:jc w:val="center"/>
    </w:pPr>
    <w:rPr>
      <w:b/>
      <w:lang w:eastAsia="de-DE"/>
    </w:rPr>
  </w:style>
  <w:style w:type="character" w:customStyle="1" w:styleId="BalloonTextChar">
    <w:name w:val="Balloon Text Char"/>
    <w:basedOn w:val="DefaultParagraphFont"/>
    <w:link w:val="BalloonText"/>
    <w:uiPriority w:val="99"/>
    <w:semiHidden/>
    <w:locked/>
    <w:rsid w:val="00BD67D2"/>
    <w:rPr>
      <w:rFonts w:ascii="Tahoma" w:hAnsi="Tahoma" w:cs="Tahoma"/>
      <w:sz w:val="16"/>
      <w:szCs w:val="16"/>
    </w:rPr>
  </w:style>
  <w:style w:type="paragraph" w:customStyle="1" w:styleId="Annexetitre">
    <w:name w:val="Annexe titre"/>
    <w:basedOn w:val="Normal"/>
    <w:next w:val="Normal"/>
    <w:uiPriority w:val="99"/>
    <w:rsid w:val="00BD67D2"/>
    <w:pPr>
      <w:spacing w:before="120" w:after="120"/>
      <w:jc w:val="center"/>
    </w:pPr>
    <w:rPr>
      <w:b/>
      <w:u w:val="single"/>
      <w:lang w:eastAsia="en-US"/>
    </w:rPr>
  </w:style>
  <w:style w:type="paragraph" w:customStyle="1" w:styleId="Pagedecouverture">
    <w:name w:val="Page de couverture"/>
    <w:basedOn w:val="Normal"/>
    <w:next w:val="Normal"/>
    <w:uiPriority w:val="99"/>
    <w:rsid w:val="00BD67D2"/>
    <w:pPr>
      <w:spacing w:before="120" w:after="120"/>
      <w:jc w:val="both"/>
    </w:pPr>
    <w:rPr>
      <w:lang w:eastAsia="en-US"/>
    </w:rPr>
  </w:style>
  <w:style w:type="character" w:customStyle="1" w:styleId="FooterChar">
    <w:name w:val="Footer Char"/>
    <w:basedOn w:val="DefaultParagraphFont"/>
    <w:link w:val="Footer"/>
    <w:uiPriority w:val="99"/>
    <w:rsid w:val="00BD67D2"/>
    <w:rPr>
      <w:sz w:val="24"/>
      <w:szCs w:val="24"/>
    </w:rPr>
  </w:style>
  <w:style w:type="paragraph" w:styleId="NoSpacing">
    <w:name w:val="No Spacing"/>
    <w:uiPriority w:val="1"/>
    <w:qFormat/>
    <w:rsid w:val="00BD67D2"/>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locked/>
    <w:rsid w:val="00B51C27"/>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A75F56"/>
    <w:rPr>
      <w:i/>
      <w:iCs/>
    </w:rPr>
  </w:style>
  <w:style w:type="paragraph" w:styleId="Title">
    <w:name w:val="Title"/>
    <w:basedOn w:val="Normal"/>
    <w:link w:val="TitleChar"/>
    <w:qFormat/>
    <w:rsid w:val="00731604"/>
    <w:pPr>
      <w:spacing w:before="240" w:after="60" w:line="240" w:lineRule="atLeast"/>
      <w:jc w:val="center"/>
      <w:outlineLvl w:val="0"/>
    </w:pPr>
    <w:rPr>
      <w:rFonts w:ascii="Arial" w:eastAsia="MS Mincho" w:hAnsi="Arial" w:cs="Arial"/>
      <w:b/>
      <w:bCs/>
      <w:kern w:val="28"/>
      <w:sz w:val="28"/>
      <w:szCs w:val="32"/>
      <w:lang w:val="en-US" w:eastAsia="ja-JP"/>
    </w:rPr>
  </w:style>
  <w:style w:type="character" w:customStyle="1" w:styleId="TitleChar">
    <w:name w:val="Title Char"/>
    <w:basedOn w:val="DefaultParagraphFont"/>
    <w:link w:val="Title"/>
    <w:rsid w:val="00731604"/>
    <w:rPr>
      <w:rFonts w:ascii="Arial" w:eastAsia="MS Mincho" w:hAnsi="Arial" w:cs="Arial"/>
      <w:b/>
      <w:bCs/>
      <w:kern w:val="28"/>
      <w:sz w:val="28"/>
      <w:szCs w:val="32"/>
      <w:lang w:val="en-US" w:eastAsia="ja-JP"/>
    </w:rPr>
  </w:style>
  <w:style w:type="character" w:styleId="FollowedHyperlink">
    <w:name w:val="FollowedHyperlink"/>
    <w:basedOn w:val="DefaultParagraphFont"/>
    <w:rsid w:val="008C42D4"/>
    <w:rPr>
      <w:color w:val="800080" w:themeColor="followedHyperlink"/>
      <w:u w:val="single"/>
    </w:rPr>
  </w:style>
  <w:style w:type="paragraph" w:customStyle="1" w:styleId="CM4">
    <w:name w:val="CM4"/>
    <w:basedOn w:val="Default"/>
    <w:next w:val="Default"/>
    <w:uiPriority w:val="99"/>
    <w:rsid w:val="00E541E0"/>
    <w:rPr>
      <w:rFonts w:ascii="Times New Roman" w:hAnsi="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222">
      <w:bodyDiv w:val="1"/>
      <w:marLeft w:val="0"/>
      <w:marRight w:val="0"/>
      <w:marTop w:val="0"/>
      <w:marBottom w:val="0"/>
      <w:divBdr>
        <w:top w:val="none" w:sz="0" w:space="0" w:color="auto"/>
        <w:left w:val="none" w:sz="0" w:space="0" w:color="auto"/>
        <w:bottom w:val="none" w:sz="0" w:space="0" w:color="auto"/>
        <w:right w:val="none" w:sz="0" w:space="0" w:color="auto"/>
      </w:divBdr>
    </w:div>
    <w:div w:id="131562424">
      <w:bodyDiv w:val="1"/>
      <w:marLeft w:val="0"/>
      <w:marRight w:val="0"/>
      <w:marTop w:val="0"/>
      <w:marBottom w:val="0"/>
      <w:divBdr>
        <w:top w:val="none" w:sz="0" w:space="0" w:color="auto"/>
        <w:left w:val="none" w:sz="0" w:space="0" w:color="auto"/>
        <w:bottom w:val="none" w:sz="0" w:space="0" w:color="auto"/>
        <w:right w:val="none" w:sz="0" w:space="0" w:color="auto"/>
      </w:divBdr>
    </w:div>
    <w:div w:id="189998265">
      <w:bodyDiv w:val="1"/>
      <w:marLeft w:val="0"/>
      <w:marRight w:val="0"/>
      <w:marTop w:val="0"/>
      <w:marBottom w:val="0"/>
      <w:divBdr>
        <w:top w:val="none" w:sz="0" w:space="0" w:color="auto"/>
        <w:left w:val="none" w:sz="0" w:space="0" w:color="auto"/>
        <w:bottom w:val="none" w:sz="0" w:space="0" w:color="auto"/>
        <w:right w:val="none" w:sz="0" w:space="0" w:color="auto"/>
      </w:divBdr>
    </w:div>
    <w:div w:id="207381181">
      <w:bodyDiv w:val="1"/>
      <w:marLeft w:val="0"/>
      <w:marRight w:val="0"/>
      <w:marTop w:val="0"/>
      <w:marBottom w:val="0"/>
      <w:divBdr>
        <w:top w:val="none" w:sz="0" w:space="0" w:color="auto"/>
        <w:left w:val="none" w:sz="0" w:space="0" w:color="auto"/>
        <w:bottom w:val="none" w:sz="0" w:space="0" w:color="auto"/>
        <w:right w:val="none" w:sz="0" w:space="0" w:color="auto"/>
      </w:divBdr>
    </w:div>
    <w:div w:id="300615178">
      <w:bodyDiv w:val="1"/>
      <w:marLeft w:val="0"/>
      <w:marRight w:val="0"/>
      <w:marTop w:val="0"/>
      <w:marBottom w:val="0"/>
      <w:divBdr>
        <w:top w:val="none" w:sz="0" w:space="0" w:color="auto"/>
        <w:left w:val="none" w:sz="0" w:space="0" w:color="auto"/>
        <w:bottom w:val="none" w:sz="0" w:space="0" w:color="auto"/>
        <w:right w:val="none" w:sz="0" w:space="0" w:color="auto"/>
      </w:divBdr>
    </w:div>
    <w:div w:id="322315488">
      <w:bodyDiv w:val="1"/>
      <w:marLeft w:val="0"/>
      <w:marRight w:val="0"/>
      <w:marTop w:val="0"/>
      <w:marBottom w:val="0"/>
      <w:divBdr>
        <w:top w:val="none" w:sz="0" w:space="0" w:color="auto"/>
        <w:left w:val="none" w:sz="0" w:space="0" w:color="auto"/>
        <w:bottom w:val="none" w:sz="0" w:space="0" w:color="auto"/>
        <w:right w:val="none" w:sz="0" w:space="0" w:color="auto"/>
      </w:divBdr>
    </w:div>
    <w:div w:id="414209520">
      <w:bodyDiv w:val="1"/>
      <w:marLeft w:val="0"/>
      <w:marRight w:val="0"/>
      <w:marTop w:val="0"/>
      <w:marBottom w:val="0"/>
      <w:divBdr>
        <w:top w:val="none" w:sz="0" w:space="0" w:color="auto"/>
        <w:left w:val="none" w:sz="0" w:space="0" w:color="auto"/>
        <w:bottom w:val="none" w:sz="0" w:space="0" w:color="auto"/>
        <w:right w:val="none" w:sz="0" w:space="0" w:color="auto"/>
      </w:divBdr>
      <w:divsChild>
        <w:div w:id="1444686631">
          <w:marLeft w:val="0"/>
          <w:marRight w:val="0"/>
          <w:marTop w:val="0"/>
          <w:marBottom w:val="0"/>
          <w:divBdr>
            <w:top w:val="none" w:sz="0" w:space="0" w:color="auto"/>
            <w:left w:val="none" w:sz="0" w:space="0" w:color="auto"/>
            <w:bottom w:val="none" w:sz="0" w:space="0" w:color="auto"/>
            <w:right w:val="none" w:sz="0" w:space="0" w:color="auto"/>
          </w:divBdr>
          <w:divsChild>
            <w:div w:id="1424297230">
              <w:marLeft w:val="0"/>
              <w:marRight w:val="0"/>
              <w:marTop w:val="0"/>
              <w:marBottom w:val="0"/>
              <w:divBdr>
                <w:top w:val="none" w:sz="0" w:space="0" w:color="auto"/>
                <w:left w:val="none" w:sz="0" w:space="0" w:color="auto"/>
                <w:bottom w:val="none" w:sz="0" w:space="0" w:color="auto"/>
                <w:right w:val="none" w:sz="0" w:space="0" w:color="auto"/>
              </w:divBdr>
            </w:div>
            <w:div w:id="20917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9351">
      <w:bodyDiv w:val="1"/>
      <w:marLeft w:val="0"/>
      <w:marRight w:val="0"/>
      <w:marTop w:val="0"/>
      <w:marBottom w:val="0"/>
      <w:divBdr>
        <w:top w:val="none" w:sz="0" w:space="0" w:color="auto"/>
        <w:left w:val="none" w:sz="0" w:space="0" w:color="auto"/>
        <w:bottom w:val="none" w:sz="0" w:space="0" w:color="auto"/>
        <w:right w:val="none" w:sz="0" w:space="0" w:color="auto"/>
      </w:divBdr>
    </w:div>
    <w:div w:id="690037293">
      <w:bodyDiv w:val="1"/>
      <w:marLeft w:val="0"/>
      <w:marRight w:val="0"/>
      <w:marTop w:val="0"/>
      <w:marBottom w:val="0"/>
      <w:divBdr>
        <w:top w:val="none" w:sz="0" w:space="0" w:color="auto"/>
        <w:left w:val="none" w:sz="0" w:space="0" w:color="auto"/>
        <w:bottom w:val="none" w:sz="0" w:space="0" w:color="auto"/>
        <w:right w:val="none" w:sz="0" w:space="0" w:color="auto"/>
      </w:divBdr>
      <w:divsChild>
        <w:div w:id="464323762">
          <w:marLeft w:val="0"/>
          <w:marRight w:val="0"/>
          <w:marTop w:val="0"/>
          <w:marBottom w:val="0"/>
          <w:divBdr>
            <w:top w:val="none" w:sz="0" w:space="0" w:color="auto"/>
            <w:left w:val="none" w:sz="0" w:space="0" w:color="auto"/>
            <w:bottom w:val="none" w:sz="0" w:space="0" w:color="auto"/>
            <w:right w:val="none" w:sz="0" w:space="0" w:color="auto"/>
          </w:divBdr>
          <w:divsChild>
            <w:div w:id="884024866">
              <w:marLeft w:val="0"/>
              <w:marRight w:val="0"/>
              <w:marTop w:val="0"/>
              <w:marBottom w:val="0"/>
              <w:divBdr>
                <w:top w:val="none" w:sz="0" w:space="0" w:color="auto"/>
                <w:left w:val="none" w:sz="0" w:space="0" w:color="auto"/>
                <w:bottom w:val="none" w:sz="0" w:space="0" w:color="auto"/>
                <w:right w:val="none" w:sz="0" w:space="0" w:color="auto"/>
              </w:divBdr>
            </w:div>
            <w:div w:id="1970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0852">
      <w:bodyDiv w:val="1"/>
      <w:marLeft w:val="0"/>
      <w:marRight w:val="0"/>
      <w:marTop w:val="0"/>
      <w:marBottom w:val="0"/>
      <w:divBdr>
        <w:top w:val="none" w:sz="0" w:space="0" w:color="auto"/>
        <w:left w:val="none" w:sz="0" w:space="0" w:color="auto"/>
        <w:bottom w:val="none" w:sz="0" w:space="0" w:color="auto"/>
        <w:right w:val="none" w:sz="0" w:space="0" w:color="auto"/>
      </w:divBdr>
    </w:div>
    <w:div w:id="1038312726">
      <w:bodyDiv w:val="1"/>
      <w:marLeft w:val="0"/>
      <w:marRight w:val="0"/>
      <w:marTop w:val="0"/>
      <w:marBottom w:val="0"/>
      <w:divBdr>
        <w:top w:val="none" w:sz="0" w:space="0" w:color="auto"/>
        <w:left w:val="none" w:sz="0" w:space="0" w:color="auto"/>
        <w:bottom w:val="none" w:sz="0" w:space="0" w:color="auto"/>
        <w:right w:val="none" w:sz="0" w:space="0" w:color="auto"/>
      </w:divBdr>
    </w:div>
    <w:div w:id="1134251081">
      <w:bodyDiv w:val="1"/>
      <w:marLeft w:val="0"/>
      <w:marRight w:val="0"/>
      <w:marTop w:val="0"/>
      <w:marBottom w:val="0"/>
      <w:divBdr>
        <w:top w:val="none" w:sz="0" w:space="0" w:color="auto"/>
        <w:left w:val="none" w:sz="0" w:space="0" w:color="auto"/>
        <w:bottom w:val="none" w:sz="0" w:space="0" w:color="auto"/>
        <w:right w:val="none" w:sz="0" w:space="0" w:color="auto"/>
      </w:divBdr>
    </w:div>
    <w:div w:id="1141383077">
      <w:bodyDiv w:val="1"/>
      <w:marLeft w:val="0"/>
      <w:marRight w:val="0"/>
      <w:marTop w:val="0"/>
      <w:marBottom w:val="0"/>
      <w:divBdr>
        <w:top w:val="none" w:sz="0" w:space="0" w:color="auto"/>
        <w:left w:val="none" w:sz="0" w:space="0" w:color="auto"/>
        <w:bottom w:val="none" w:sz="0" w:space="0" w:color="auto"/>
        <w:right w:val="none" w:sz="0" w:space="0" w:color="auto"/>
      </w:divBdr>
      <w:divsChild>
        <w:div w:id="317929524">
          <w:marLeft w:val="0"/>
          <w:marRight w:val="0"/>
          <w:marTop w:val="0"/>
          <w:marBottom w:val="0"/>
          <w:divBdr>
            <w:top w:val="none" w:sz="0" w:space="0" w:color="auto"/>
            <w:left w:val="none" w:sz="0" w:space="0" w:color="auto"/>
            <w:bottom w:val="none" w:sz="0" w:space="0" w:color="auto"/>
            <w:right w:val="none" w:sz="0" w:space="0" w:color="auto"/>
          </w:divBdr>
          <w:divsChild>
            <w:div w:id="184903678">
              <w:marLeft w:val="0"/>
              <w:marRight w:val="0"/>
              <w:marTop w:val="0"/>
              <w:marBottom w:val="0"/>
              <w:divBdr>
                <w:top w:val="none" w:sz="0" w:space="0" w:color="auto"/>
                <w:left w:val="none" w:sz="0" w:space="0" w:color="auto"/>
                <w:bottom w:val="none" w:sz="0" w:space="0" w:color="auto"/>
                <w:right w:val="none" w:sz="0" w:space="0" w:color="auto"/>
              </w:divBdr>
              <w:divsChild>
                <w:div w:id="417410945">
                  <w:marLeft w:val="0"/>
                  <w:marRight w:val="0"/>
                  <w:marTop w:val="0"/>
                  <w:marBottom w:val="0"/>
                  <w:divBdr>
                    <w:top w:val="none" w:sz="0" w:space="0" w:color="auto"/>
                    <w:left w:val="none" w:sz="0" w:space="0" w:color="auto"/>
                    <w:bottom w:val="none" w:sz="0" w:space="0" w:color="auto"/>
                    <w:right w:val="none" w:sz="0" w:space="0" w:color="auto"/>
                  </w:divBdr>
                  <w:divsChild>
                    <w:div w:id="1317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4274">
      <w:bodyDiv w:val="1"/>
      <w:marLeft w:val="0"/>
      <w:marRight w:val="0"/>
      <w:marTop w:val="0"/>
      <w:marBottom w:val="0"/>
      <w:divBdr>
        <w:top w:val="none" w:sz="0" w:space="0" w:color="auto"/>
        <w:left w:val="none" w:sz="0" w:space="0" w:color="auto"/>
        <w:bottom w:val="none" w:sz="0" w:space="0" w:color="auto"/>
        <w:right w:val="none" w:sz="0" w:space="0" w:color="auto"/>
      </w:divBdr>
    </w:div>
    <w:div w:id="1550414576">
      <w:bodyDiv w:val="1"/>
      <w:marLeft w:val="0"/>
      <w:marRight w:val="0"/>
      <w:marTop w:val="0"/>
      <w:marBottom w:val="0"/>
      <w:divBdr>
        <w:top w:val="none" w:sz="0" w:space="0" w:color="auto"/>
        <w:left w:val="none" w:sz="0" w:space="0" w:color="auto"/>
        <w:bottom w:val="none" w:sz="0" w:space="0" w:color="auto"/>
        <w:right w:val="none" w:sz="0" w:space="0" w:color="auto"/>
      </w:divBdr>
    </w:div>
    <w:div w:id="1616789919">
      <w:bodyDiv w:val="1"/>
      <w:marLeft w:val="0"/>
      <w:marRight w:val="0"/>
      <w:marTop w:val="0"/>
      <w:marBottom w:val="0"/>
      <w:divBdr>
        <w:top w:val="none" w:sz="0" w:space="0" w:color="auto"/>
        <w:left w:val="none" w:sz="0" w:space="0" w:color="auto"/>
        <w:bottom w:val="none" w:sz="0" w:space="0" w:color="auto"/>
        <w:right w:val="none" w:sz="0" w:space="0" w:color="auto"/>
      </w:divBdr>
    </w:div>
    <w:div w:id="1938249823">
      <w:bodyDiv w:val="1"/>
      <w:marLeft w:val="0"/>
      <w:marRight w:val="0"/>
      <w:marTop w:val="0"/>
      <w:marBottom w:val="0"/>
      <w:divBdr>
        <w:top w:val="none" w:sz="0" w:space="0" w:color="auto"/>
        <w:left w:val="none" w:sz="0" w:space="0" w:color="auto"/>
        <w:bottom w:val="none" w:sz="0" w:space="0" w:color="auto"/>
        <w:right w:val="none" w:sz="0" w:space="0" w:color="auto"/>
      </w:divBdr>
      <w:divsChild>
        <w:div w:id="1752241210">
          <w:marLeft w:val="0"/>
          <w:marRight w:val="0"/>
          <w:marTop w:val="0"/>
          <w:marBottom w:val="0"/>
          <w:divBdr>
            <w:top w:val="none" w:sz="0" w:space="0" w:color="auto"/>
            <w:left w:val="none" w:sz="0" w:space="0" w:color="auto"/>
            <w:bottom w:val="none" w:sz="0" w:space="0" w:color="auto"/>
            <w:right w:val="none" w:sz="0" w:space="0" w:color="auto"/>
          </w:divBdr>
        </w:div>
      </w:divsChild>
    </w:div>
    <w:div w:id="2053727126">
      <w:bodyDiv w:val="1"/>
      <w:marLeft w:val="0"/>
      <w:marRight w:val="0"/>
      <w:marTop w:val="0"/>
      <w:marBottom w:val="0"/>
      <w:divBdr>
        <w:top w:val="none" w:sz="0" w:space="0" w:color="auto"/>
        <w:left w:val="none" w:sz="0" w:space="0" w:color="auto"/>
        <w:bottom w:val="none" w:sz="0" w:space="0" w:color="auto"/>
        <w:right w:val="none" w:sz="0" w:space="0" w:color="auto"/>
      </w:divBdr>
    </w:div>
    <w:div w:id="20583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7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footnotes" Target="footnotes.xml"/><Relationship Id="rId79"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numbering" Target="numbering.xml"/><Relationship Id="rId77" Type="http://schemas.openxmlformats.org/officeDocument/2006/relationships/hyperlink" Target="https://register.eiopa.europa.eu/press-room/speeches-presentations-and-interviews/index.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settings" Target="settings.xml"/><Relationship Id="rId80" Type="http://schemas.openxmlformats.org/officeDocument/2006/relationships/fontTable" Target="fontTable.xml"/><Relationship Id="rId85" Type="http://schemas.openxmlformats.org/officeDocument/2006/relationships/customXml" Target="../customXml/item7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tyles" Target="styles.xml"/><Relationship Id="rId75" Type="http://schemas.openxmlformats.org/officeDocument/2006/relationships/endnotes" Target="endnotes.xml"/><Relationship Id="rId83" Type="http://schemas.openxmlformats.org/officeDocument/2006/relationships/customXml" Target="../customXml/item7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webSettings" Target="webSettings.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image" Target="media/image1.png"/><Relationship Id="rId7" Type="http://schemas.openxmlformats.org/officeDocument/2006/relationships/customXml" Target="../customXml/item7.xml"/><Relationship Id="rId71" Type="http://schemas.microsoft.com/office/2007/relationships/stylesWithEffects" Target="stylesWithEffect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61" Type="http://schemas.openxmlformats.org/officeDocument/2006/relationships/customXml" Target="../customXml/item61.xml"/><Relationship Id="rId82" Type="http://schemas.openxmlformats.org/officeDocument/2006/relationships/customXml" Target="../customXml/item69.xml"/></Relationships>
</file>

<file path=word/_rels/footnotes.xml.rels><?xml version="1.0" encoding="UTF-8" standalone="yes"?>
<Relationships xmlns="http://schemas.openxmlformats.org/package/2006/relationships"><Relationship Id="rId3" Type="http://schemas.openxmlformats.org/officeDocument/2006/relationships/hyperlink" Target="https://register.eiopa.europa.eu/consultations/consultation-papers/2011-closed-consultations/index.html" TargetMode="External"/><Relationship Id="rId2" Type="http://schemas.openxmlformats.org/officeDocument/2006/relationships/hyperlink" Target="https://register.eiopa.europa.eu/fileadmin/tx_dam/files/publications/reports/2013_Report_on_market_developments_in_cross-border_IORPs.pdf" TargetMode="External"/><Relationship Id="rId1" Type="http://schemas.openxmlformats.org/officeDocument/2006/relationships/hyperlink" Target="http://ec.europa.eu/internal_market/pensions/docs/calls/042011_call_en.pdf" TargetMode="External"/><Relationship Id="rId5" Type="http://schemas.openxmlformats.org/officeDocument/2006/relationships/hyperlink" Target="https://register.eiopa.europa.eu/en/fixed-width/disclosure/occupational-pensions/links/index.html" TargetMode="External"/><Relationship Id="rId4" Type="http://schemas.openxmlformats.org/officeDocument/2006/relationships/hyperlink" Target="https://register.eiopa.europa.eu/publications/submissions-to-the-e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mso-contentType ?>
<FormTemplates xmlns="http://schemas.microsoft.com/sharepoint/v3/contenttype/forms">
  <Display>DocumentLibraryForm</Display>
  <Edit>DocumentLibraryForm</Edit>
  <New>DocumentLibraryForm</New>
</FormTemplat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 xsi:nil="tru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2015-02-23T11:44:11+00:00</StartDate>
    <TaxCatchAll xmlns="ab8f74c7-0748-4175-b0a7-798791edd7a4"/>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72.xml><?xml version="1.0" encoding="utf-8"?>
<?mso-contentType ?>
<SharedContentType xmlns="Microsoft.SharePoint.Taxonomy.ContentTypeSync" SourceId="2b1776d1-ae3b-49f8-a97b-1474fa7fa346" ContentTypeId="0x0101"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D90B-9E66-47BB-B7B7-48584EF42014}"/>
</file>

<file path=customXml/itemProps10.xml><?xml version="1.0" encoding="utf-8"?>
<ds:datastoreItem xmlns:ds="http://schemas.openxmlformats.org/officeDocument/2006/customXml" ds:itemID="{589CA7D4-E2A6-445F-9F74-A4CCC181AF6B}"/>
</file>

<file path=customXml/itemProps11.xml><?xml version="1.0" encoding="utf-8"?>
<ds:datastoreItem xmlns:ds="http://schemas.openxmlformats.org/officeDocument/2006/customXml" ds:itemID="{CC9B13C9-EFA3-41AF-AE37-8E98D8791D3C}"/>
</file>

<file path=customXml/itemProps12.xml><?xml version="1.0" encoding="utf-8"?>
<ds:datastoreItem xmlns:ds="http://schemas.openxmlformats.org/officeDocument/2006/customXml" ds:itemID="{22508B1C-8800-4D6D-937C-B6D4A274A951}"/>
</file>

<file path=customXml/itemProps13.xml><?xml version="1.0" encoding="utf-8"?>
<ds:datastoreItem xmlns:ds="http://schemas.openxmlformats.org/officeDocument/2006/customXml" ds:itemID="{8DD177A4-CCDD-4454-AB85-40F56C924C6D}"/>
</file>

<file path=customXml/itemProps14.xml><?xml version="1.0" encoding="utf-8"?>
<ds:datastoreItem xmlns:ds="http://schemas.openxmlformats.org/officeDocument/2006/customXml" ds:itemID="{436758E7-0B49-4214-9965-5BC16E5884C4}"/>
</file>

<file path=customXml/itemProps15.xml><?xml version="1.0" encoding="utf-8"?>
<ds:datastoreItem xmlns:ds="http://schemas.openxmlformats.org/officeDocument/2006/customXml" ds:itemID="{8466690B-C2D8-48F5-8E9C-B985A168C6EF}"/>
</file>

<file path=customXml/itemProps16.xml><?xml version="1.0" encoding="utf-8"?>
<ds:datastoreItem xmlns:ds="http://schemas.openxmlformats.org/officeDocument/2006/customXml" ds:itemID="{21625DA5-574B-4E4D-A383-AC8B0EFF4982}"/>
</file>

<file path=customXml/itemProps17.xml><?xml version="1.0" encoding="utf-8"?>
<ds:datastoreItem xmlns:ds="http://schemas.openxmlformats.org/officeDocument/2006/customXml" ds:itemID="{AF95EB04-B32E-4D73-8CF6-2B0B6BA03C68}"/>
</file>

<file path=customXml/itemProps18.xml><?xml version="1.0" encoding="utf-8"?>
<ds:datastoreItem xmlns:ds="http://schemas.openxmlformats.org/officeDocument/2006/customXml" ds:itemID="{B5064470-90C0-457F-AC3A-44597DE80EC1}"/>
</file>

<file path=customXml/itemProps19.xml><?xml version="1.0" encoding="utf-8"?>
<ds:datastoreItem xmlns:ds="http://schemas.openxmlformats.org/officeDocument/2006/customXml" ds:itemID="{D4281D76-F402-4ABD-AB9C-6099D0B2EDA3}"/>
</file>

<file path=customXml/itemProps2.xml><?xml version="1.0" encoding="utf-8"?>
<ds:datastoreItem xmlns:ds="http://schemas.openxmlformats.org/officeDocument/2006/customXml" ds:itemID="{B672F69C-11BE-43EB-BC97-B6EDFB07B695}"/>
</file>

<file path=customXml/itemProps20.xml><?xml version="1.0" encoding="utf-8"?>
<ds:datastoreItem xmlns:ds="http://schemas.openxmlformats.org/officeDocument/2006/customXml" ds:itemID="{37625B4E-C7AC-491B-8E96-E9259966C1FC}"/>
</file>

<file path=customXml/itemProps21.xml><?xml version="1.0" encoding="utf-8"?>
<ds:datastoreItem xmlns:ds="http://schemas.openxmlformats.org/officeDocument/2006/customXml" ds:itemID="{AF9084AA-5EC2-4039-8615-46B9F9DEBA89}"/>
</file>

<file path=customXml/itemProps22.xml><?xml version="1.0" encoding="utf-8"?>
<ds:datastoreItem xmlns:ds="http://schemas.openxmlformats.org/officeDocument/2006/customXml" ds:itemID="{2A225746-CF7F-4745-A919-24B225B7573D}"/>
</file>

<file path=customXml/itemProps23.xml><?xml version="1.0" encoding="utf-8"?>
<ds:datastoreItem xmlns:ds="http://schemas.openxmlformats.org/officeDocument/2006/customXml" ds:itemID="{F29265AA-6291-4FA2-B59B-DC8A8743F29B}"/>
</file>

<file path=customXml/itemProps24.xml><?xml version="1.0" encoding="utf-8"?>
<ds:datastoreItem xmlns:ds="http://schemas.openxmlformats.org/officeDocument/2006/customXml" ds:itemID="{E3AB903C-FE97-4056-98FC-F620118AFE8B}"/>
</file>

<file path=customXml/itemProps25.xml><?xml version="1.0" encoding="utf-8"?>
<ds:datastoreItem xmlns:ds="http://schemas.openxmlformats.org/officeDocument/2006/customXml" ds:itemID="{B732354A-2FEF-4FBE-B7CD-3E0FE054FB8E}"/>
</file>

<file path=customXml/itemProps26.xml><?xml version="1.0" encoding="utf-8"?>
<ds:datastoreItem xmlns:ds="http://schemas.openxmlformats.org/officeDocument/2006/customXml" ds:itemID="{BA748102-3FF1-4951-9189-A8D6D0D129F8}"/>
</file>

<file path=customXml/itemProps27.xml><?xml version="1.0" encoding="utf-8"?>
<ds:datastoreItem xmlns:ds="http://schemas.openxmlformats.org/officeDocument/2006/customXml" ds:itemID="{E5D45E46-C2FC-4645-8F31-28B378BF8F18}"/>
</file>

<file path=customXml/itemProps28.xml><?xml version="1.0" encoding="utf-8"?>
<ds:datastoreItem xmlns:ds="http://schemas.openxmlformats.org/officeDocument/2006/customXml" ds:itemID="{5720F540-CBF2-4F69-8C80-1605A366DBAD}"/>
</file>

<file path=customXml/itemProps29.xml><?xml version="1.0" encoding="utf-8"?>
<ds:datastoreItem xmlns:ds="http://schemas.openxmlformats.org/officeDocument/2006/customXml" ds:itemID="{7F2025F5-81E7-4E1B-9D5F-69EC3B87D232}"/>
</file>

<file path=customXml/itemProps3.xml><?xml version="1.0" encoding="utf-8"?>
<ds:datastoreItem xmlns:ds="http://schemas.openxmlformats.org/officeDocument/2006/customXml" ds:itemID="{58C732C6-9F54-41FC-B146-53389259150C}"/>
</file>

<file path=customXml/itemProps30.xml><?xml version="1.0" encoding="utf-8"?>
<ds:datastoreItem xmlns:ds="http://schemas.openxmlformats.org/officeDocument/2006/customXml" ds:itemID="{225DE678-7049-40E5-AE83-BB2FE9FD33F2}"/>
</file>

<file path=customXml/itemProps31.xml><?xml version="1.0" encoding="utf-8"?>
<ds:datastoreItem xmlns:ds="http://schemas.openxmlformats.org/officeDocument/2006/customXml" ds:itemID="{2D077624-66C2-4778-9EA1-C083E7DEA764}"/>
</file>

<file path=customXml/itemProps32.xml><?xml version="1.0" encoding="utf-8"?>
<ds:datastoreItem xmlns:ds="http://schemas.openxmlformats.org/officeDocument/2006/customXml" ds:itemID="{C4EE5401-A000-4640-ADAB-A280A09D2049}"/>
</file>

<file path=customXml/itemProps33.xml><?xml version="1.0" encoding="utf-8"?>
<ds:datastoreItem xmlns:ds="http://schemas.openxmlformats.org/officeDocument/2006/customXml" ds:itemID="{BB5376A0-14B0-43F1-AFEB-3A5BD5203032}"/>
</file>

<file path=customXml/itemProps34.xml><?xml version="1.0" encoding="utf-8"?>
<ds:datastoreItem xmlns:ds="http://schemas.openxmlformats.org/officeDocument/2006/customXml" ds:itemID="{BDCFF7A9-0D62-4669-8ECD-BE168E602DB9}"/>
</file>

<file path=customXml/itemProps35.xml><?xml version="1.0" encoding="utf-8"?>
<ds:datastoreItem xmlns:ds="http://schemas.openxmlformats.org/officeDocument/2006/customXml" ds:itemID="{B9B42655-DA7F-43E5-A0E1-F49E00DFBB25}"/>
</file>

<file path=customXml/itemProps36.xml><?xml version="1.0" encoding="utf-8"?>
<ds:datastoreItem xmlns:ds="http://schemas.openxmlformats.org/officeDocument/2006/customXml" ds:itemID="{34DDC16D-C684-40B5-A906-1E4212BA9D88}"/>
</file>

<file path=customXml/itemProps37.xml><?xml version="1.0" encoding="utf-8"?>
<ds:datastoreItem xmlns:ds="http://schemas.openxmlformats.org/officeDocument/2006/customXml" ds:itemID="{0C992C13-7242-43E6-B699-CEAF4774A46E}"/>
</file>

<file path=customXml/itemProps38.xml><?xml version="1.0" encoding="utf-8"?>
<ds:datastoreItem xmlns:ds="http://schemas.openxmlformats.org/officeDocument/2006/customXml" ds:itemID="{C7C3A735-C5D7-4B12-9718-B71E2BDBD1C4}"/>
</file>

<file path=customXml/itemProps39.xml><?xml version="1.0" encoding="utf-8"?>
<ds:datastoreItem xmlns:ds="http://schemas.openxmlformats.org/officeDocument/2006/customXml" ds:itemID="{CA7D3C3C-CDAA-4A11-B693-342C6B2BC178}"/>
</file>

<file path=customXml/itemProps4.xml><?xml version="1.0" encoding="utf-8"?>
<ds:datastoreItem xmlns:ds="http://schemas.openxmlformats.org/officeDocument/2006/customXml" ds:itemID="{1FB4F094-1ABE-408F-9CC0-D991281E2585}"/>
</file>

<file path=customXml/itemProps40.xml><?xml version="1.0" encoding="utf-8"?>
<ds:datastoreItem xmlns:ds="http://schemas.openxmlformats.org/officeDocument/2006/customXml" ds:itemID="{0E889161-D5F3-4B43-B6CA-02718F668B4A}"/>
</file>

<file path=customXml/itemProps41.xml><?xml version="1.0" encoding="utf-8"?>
<ds:datastoreItem xmlns:ds="http://schemas.openxmlformats.org/officeDocument/2006/customXml" ds:itemID="{48F34408-6CCD-4660-96DA-0AD79D2C8016}"/>
</file>

<file path=customXml/itemProps42.xml><?xml version="1.0" encoding="utf-8"?>
<ds:datastoreItem xmlns:ds="http://schemas.openxmlformats.org/officeDocument/2006/customXml" ds:itemID="{E14E3AA8-53C4-4131-A4DE-A99E6E17269B}"/>
</file>

<file path=customXml/itemProps43.xml><?xml version="1.0" encoding="utf-8"?>
<ds:datastoreItem xmlns:ds="http://schemas.openxmlformats.org/officeDocument/2006/customXml" ds:itemID="{B436644F-BE52-4C61-9607-806E749B0A11}"/>
</file>

<file path=customXml/itemProps44.xml><?xml version="1.0" encoding="utf-8"?>
<ds:datastoreItem xmlns:ds="http://schemas.openxmlformats.org/officeDocument/2006/customXml" ds:itemID="{5D7A7FA8-E2E9-4E32-A6CC-7119834A6E7E}"/>
</file>

<file path=customXml/itemProps45.xml><?xml version="1.0" encoding="utf-8"?>
<ds:datastoreItem xmlns:ds="http://schemas.openxmlformats.org/officeDocument/2006/customXml" ds:itemID="{5F18E7F1-4401-4693-A160-2BFFDBEA832B}"/>
</file>

<file path=customXml/itemProps46.xml><?xml version="1.0" encoding="utf-8"?>
<ds:datastoreItem xmlns:ds="http://schemas.openxmlformats.org/officeDocument/2006/customXml" ds:itemID="{AD24D304-4BC3-437A-9267-9B0B6DF10B48}"/>
</file>

<file path=customXml/itemProps47.xml><?xml version="1.0" encoding="utf-8"?>
<ds:datastoreItem xmlns:ds="http://schemas.openxmlformats.org/officeDocument/2006/customXml" ds:itemID="{C4ADDE67-8F2D-44EC-B333-DB090F8D923F}"/>
</file>

<file path=customXml/itemProps48.xml><?xml version="1.0" encoding="utf-8"?>
<ds:datastoreItem xmlns:ds="http://schemas.openxmlformats.org/officeDocument/2006/customXml" ds:itemID="{0764270F-E897-43F7-9792-9B9DB779E385}"/>
</file>

<file path=customXml/itemProps49.xml><?xml version="1.0" encoding="utf-8"?>
<ds:datastoreItem xmlns:ds="http://schemas.openxmlformats.org/officeDocument/2006/customXml" ds:itemID="{30AE1454-46D4-4953-9DFE-6CE9D9C7408E}"/>
</file>

<file path=customXml/itemProps5.xml><?xml version="1.0" encoding="utf-8"?>
<ds:datastoreItem xmlns:ds="http://schemas.openxmlformats.org/officeDocument/2006/customXml" ds:itemID="{5F293B34-EC5B-4D21-8391-5882A1A0561C}"/>
</file>

<file path=customXml/itemProps50.xml><?xml version="1.0" encoding="utf-8"?>
<ds:datastoreItem xmlns:ds="http://schemas.openxmlformats.org/officeDocument/2006/customXml" ds:itemID="{075F74F4-8B54-428B-891F-9F1B6197AA78}"/>
</file>

<file path=customXml/itemProps51.xml><?xml version="1.0" encoding="utf-8"?>
<ds:datastoreItem xmlns:ds="http://schemas.openxmlformats.org/officeDocument/2006/customXml" ds:itemID="{2C0B8AB5-86AE-482F-973F-A64F067213F7}"/>
</file>

<file path=customXml/itemProps52.xml><?xml version="1.0" encoding="utf-8"?>
<ds:datastoreItem xmlns:ds="http://schemas.openxmlformats.org/officeDocument/2006/customXml" ds:itemID="{98CADC34-7BFE-474E-AEE6-18B78CB4A061}"/>
</file>

<file path=customXml/itemProps53.xml><?xml version="1.0" encoding="utf-8"?>
<ds:datastoreItem xmlns:ds="http://schemas.openxmlformats.org/officeDocument/2006/customXml" ds:itemID="{4D955457-AD2F-44E5-9DFD-FDD1249A48BE}"/>
</file>

<file path=customXml/itemProps54.xml><?xml version="1.0" encoding="utf-8"?>
<ds:datastoreItem xmlns:ds="http://schemas.openxmlformats.org/officeDocument/2006/customXml" ds:itemID="{6F077A5A-D7A2-44CD-8D4B-D9AC0DE9A00B}"/>
</file>

<file path=customXml/itemProps55.xml><?xml version="1.0" encoding="utf-8"?>
<ds:datastoreItem xmlns:ds="http://schemas.openxmlformats.org/officeDocument/2006/customXml" ds:itemID="{37784FA3-FE7C-4D26-9E05-9369EB16152F}"/>
</file>

<file path=customXml/itemProps56.xml><?xml version="1.0" encoding="utf-8"?>
<ds:datastoreItem xmlns:ds="http://schemas.openxmlformats.org/officeDocument/2006/customXml" ds:itemID="{C38D88D6-2957-4E26-8F66-E6C2B7E384C6}"/>
</file>

<file path=customXml/itemProps57.xml><?xml version="1.0" encoding="utf-8"?>
<ds:datastoreItem xmlns:ds="http://schemas.openxmlformats.org/officeDocument/2006/customXml" ds:itemID="{02D215AC-B1E9-4E22-BBA7-83D1F48D469F}"/>
</file>

<file path=customXml/itemProps58.xml><?xml version="1.0" encoding="utf-8"?>
<ds:datastoreItem xmlns:ds="http://schemas.openxmlformats.org/officeDocument/2006/customXml" ds:itemID="{19C41128-CCED-4C8E-BE18-76A896C01C3B}"/>
</file>

<file path=customXml/itemProps59.xml><?xml version="1.0" encoding="utf-8"?>
<ds:datastoreItem xmlns:ds="http://schemas.openxmlformats.org/officeDocument/2006/customXml" ds:itemID="{7449AA5D-9D8C-4E71-B8DC-9D85664E4DE0}"/>
</file>

<file path=customXml/itemProps6.xml><?xml version="1.0" encoding="utf-8"?>
<ds:datastoreItem xmlns:ds="http://schemas.openxmlformats.org/officeDocument/2006/customXml" ds:itemID="{36843384-3ADB-4004-8D07-9D5F8E535D67}"/>
</file>

<file path=customXml/itemProps60.xml><?xml version="1.0" encoding="utf-8"?>
<ds:datastoreItem xmlns:ds="http://schemas.openxmlformats.org/officeDocument/2006/customXml" ds:itemID="{32A67248-91CC-4596-A06E-36F48542AE7A}"/>
</file>

<file path=customXml/itemProps61.xml><?xml version="1.0" encoding="utf-8"?>
<ds:datastoreItem xmlns:ds="http://schemas.openxmlformats.org/officeDocument/2006/customXml" ds:itemID="{79E8F584-6185-4550-A70B-67B5AB764CEE}"/>
</file>

<file path=customXml/itemProps62.xml><?xml version="1.0" encoding="utf-8"?>
<ds:datastoreItem xmlns:ds="http://schemas.openxmlformats.org/officeDocument/2006/customXml" ds:itemID="{1B9E0D2F-606B-46B6-B1F3-575B62A9ED3B}"/>
</file>

<file path=customXml/itemProps63.xml><?xml version="1.0" encoding="utf-8"?>
<ds:datastoreItem xmlns:ds="http://schemas.openxmlformats.org/officeDocument/2006/customXml" ds:itemID="{945B59C9-E143-4306-93D4-FEB165D40F62}"/>
</file>

<file path=customXml/itemProps64.xml><?xml version="1.0" encoding="utf-8"?>
<ds:datastoreItem xmlns:ds="http://schemas.openxmlformats.org/officeDocument/2006/customXml" ds:itemID="{B0EC9B28-33F6-410A-8874-4A9BE6C4D3BF}"/>
</file>

<file path=customXml/itemProps65.xml><?xml version="1.0" encoding="utf-8"?>
<ds:datastoreItem xmlns:ds="http://schemas.openxmlformats.org/officeDocument/2006/customXml" ds:itemID="{6DE84BB3-22F8-4E0A-8E05-145F98B1014B}"/>
</file>

<file path=customXml/itemProps66.xml><?xml version="1.0" encoding="utf-8"?>
<ds:datastoreItem xmlns:ds="http://schemas.openxmlformats.org/officeDocument/2006/customXml" ds:itemID="{E1D86E75-A9EB-4BF7-A963-FC36237A1CEC}"/>
</file>

<file path=customXml/itemProps67.xml><?xml version="1.0" encoding="utf-8"?>
<ds:datastoreItem xmlns:ds="http://schemas.openxmlformats.org/officeDocument/2006/customXml" ds:itemID="{CB2FD647-982B-41E9-AD23-FAB2C5482E72}"/>
</file>

<file path=customXml/itemProps68.xml><?xml version="1.0" encoding="utf-8"?>
<ds:datastoreItem xmlns:ds="http://schemas.openxmlformats.org/officeDocument/2006/customXml" ds:itemID="{32E3D5BF-10F6-402F-84C3-C572D74BB5B5}"/>
</file>

<file path=customXml/itemProps69.xml><?xml version="1.0" encoding="utf-8"?>
<ds:datastoreItem xmlns:ds="http://schemas.openxmlformats.org/officeDocument/2006/customXml" ds:itemID="{DBFF900E-F021-4113-BF3B-7A617F1199BB}"/>
</file>

<file path=customXml/itemProps7.xml><?xml version="1.0" encoding="utf-8"?>
<ds:datastoreItem xmlns:ds="http://schemas.openxmlformats.org/officeDocument/2006/customXml" ds:itemID="{4FE88AA6-9C26-491A-8044-5BBA243E22E0}"/>
</file>

<file path=customXml/itemProps70.xml><?xml version="1.0" encoding="utf-8"?>
<ds:datastoreItem xmlns:ds="http://schemas.openxmlformats.org/officeDocument/2006/customXml" ds:itemID="{DCFC30D8-ED7A-45BB-8DA3-6198C394B2FD}"/>
</file>

<file path=customXml/itemProps71.xml><?xml version="1.0" encoding="utf-8"?>
<ds:datastoreItem xmlns:ds="http://schemas.openxmlformats.org/officeDocument/2006/customXml" ds:itemID="{B663283F-1C9E-4FE6-8C31-9BD0A06471E5}"/>
</file>

<file path=customXml/itemProps72.xml><?xml version="1.0" encoding="utf-8"?>
<ds:datastoreItem xmlns:ds="http://schemas.openxmlformats.org/officeDocument/2006/customXml" ds:itemID="{9D4F4E20-D722-44AB-9B69-D9C403B465E8}"/>
</file>

<file path=customXml/itemProps8.xml><?xml version="1.0" encoding="utf-8"?>
<ds:datastoreItem xmlns:ds="http://schemas.openxmlformats.org/officeDocument/2006/customXml" ds:itemID="{8F6D1B39-EF51-4085-AD08-B0447653C477}"/>
</file>

<file path=customXml/itemProps9.xml><?xml version="1.0" encoding="utf-8"?>
<ds:datastoreItem xmlns:ds="http://schemas.openxmlformats.org/officeDocument/2006/customXml" ds:itemID="{621230CC-CAD5-41E1-82C7-12919121A175}"/>
</file>

<file path=docProps/app.xml><?xml version="1.0" encoding="utf-8"?>
<Properties xmlns="http://schemas.openxmlformats.org/officeDocument/2006/extended-properties" xmlns:vt="http://schemas.openxmlformats.org/officeDocument/2006/docPropsVTypes">
  <Template>Normal</Template>
  <TotalTime>0</TotalTime>
  <Pages>12</Pages>
  <Words>3943</Words>
  <Characters>22158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2013-12-17T14:11:00Z</dcterms:created>
  <dcterms:modified xsi:type="dcterms:W3CDTF">2013-12-17T14:11:00Z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-1699988737</vt:i4>
  </property>
  <property fmtid="{D5CDD505-2E9C-101B-9397-08002B2CF9AE}" pid="4" name="_PreviousAdHocReviewCycleID">
    <vt:i4>1633084708</vt:i4>
  </property>
  <property fmtid="{D5CDD505-2E9C-101B-9397-08002B2CF9AE}" pid="5" name="ContentTypeId">
    <vt:lpwstr>0x010100F025371A0D5F1846930DBA2C9EDAF56600AFC9069F21C440458F2314C115976576</vt:lpwstr>
  </property>
  <property fmtid="{D5CDD505-2E9C-101B-9397-08002B2CF9AE}" pid="6" name="Involved Party">
    <vt:lpwstr/>
  </property>
  <property fmtid="{D5CDD505-2E9C-101B-9397-08002B2CF9AE}" pid="7" name="lf7ec453acb346f5b4feea7d032d6f2c">
    <vt:lpwstr/>
  </property>
  <property fmtid="{D5CDD505-2E9C-101B-9397-08002B2CF9AE}" pid="8" name="m4764fd034b84a6e893e168ee26c887c">
    <vt:lpwstr/>
  </property>
  <property fmtid="{D5CDD505-2E9C-101B-9397-08002B2CF9AE}" pid="9" name="Document Topic">
    <vt:lpwstr/>
  </property>
  <property fmtid="{D5CDD505-2E9C-101B-9397-08002B2CF9AE}" pid="10" name="Document Type">
    <vt:lpwstr/>
  </property>
  <property fmtid="{D5CDD505-2E9C-101B-9397-08002B2CF9AE}" pid="11" name="obb4efe42ba0440ebcc21f478af52bc7">
    <vt:lpwstr/>
  </property>
</Properties>
</file>